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99083" w14:textId="0D9860D6" w:rsidR="00704333" w:rsidRDefault="00704333" w:rsidP="00704333">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1A6BD4">
        <w:rPr>
          <w:b/>
          <w:i/>
          <w:noProof/>
          <w:sz w:val="28"/>
        </w:rPr>
        <w:t>3551</w:t>
      </w:r>
    </w:p>
    <w:p w14:paraId="287B7139" w14:textId="5F09B972" w:rsidR="0010401F" w:rsidRPr="00BA5060" w:rsidRDefault="00704333" w:rsidP="00704333">
      <w:pPr>
        <w:keepNext/>
        <w:pBdr>
          <w:bottom w:val="single" w:sz="4" w:space="1" w:color="auto"/>
        </w:pBdr>
        <w:tabs>
          <w:tab w:val="right" w:pos="9639"/>
        </w:tabs>
        <w:outlineLvl w:val="0"/>
        <w:rPr>
          <w:rFonts w:ascii="Arial" w:hAnsi="Arial"/>
          <w:b/>
          <w:noProof/>
          <w:sz w:val="24"/>
        </w:rPr>
      </w:pPr>
      <w:r>
        <w:rPr>
          <w:b/>
          <w:bCs/>
          <w:sz w:val="24"/>
        </w:rPr>
        <w:t>Goteborg, Sweden, 14 - 18 August 2023</w:t>
      </w:r>
      <w:r w:rsidR="00BA5060">
        <w:rPr>
          <w:rFonts w:ascii="Arial" w:hAnsi="Arial"/>
          <w:b/>
          <w:noProof/>
          <w:sz w:val="24"/>
        </w:rPr>
        <w:br/>
      </w:r>
    </w:p>
    <w:p w14:paraId="22B3504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2A5CD6">
        <w:rPr>
          <w:rFonts w:ascii="Arial" w:hAnsi="Arial"/>
          <w:b/>
          <w:lang w:val="en-US"/>
        </w:rPr>
        <w:t>Nokia, Nokia Shanghai Bell</w:t>
      </w:r>
      <w:r>
        <w:rPr>
          <w:rFonts w:ascii="Arial" w:hAnsi="Arial"/>
          <w:b/>
          <w:lang w:val="en-US"/>
        </w:rPr>
        <w:tab/>
      </w:r>
    </w:p>
    <w:p w14:paraId="541B92F3" w14:textId="1DDDF52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2A5CD6">
        <w:rPr>
          <w:rFonts w:ascii="Arial" w:hAnsi="Arial" w:cs="Arial"/>
          <w:b/>
        </w:rPr>
        <w:t xml:space="preserve">Discussion </w:t>
      </w:r>
      <w:r w:rsidR="00704333">
        <w:rPr>
          <w:rFonts w:ascii="Arial" w:hAnsi="Arial" w:cs="Arial"/>
          <w:b/>
        </w:rPr>
        <w:t xml:space="preserve">on </w:t>
      </w:r>
      <w:r w:rsidR="009C68A7">
        <w:rPr>
          <w:rFonts w:ascii="Arial" w:hAnsi="Arial" w:cs="Arial"/>
          <w:b/>
        </w:rPr>
        <w:t xml:space="preserve">Security for NTN Store and Forward </w:t>
      </w:r>
    </w:p>
    <w:p w14:paraId="40E1685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Pr>
          <w:rFonts w:ascii="Arial" w:hAnsi="Arial"/>
          <w:b/>
          <w:lang w:eastAsia="zh-CN"/>
        </w:rPr>
        <w:t>Discussion</w:t>
      </w:r>
    </w:p>
    <w:p w14:paraId="226CB94F" w14:textId="0E027E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4C0C17">
        <w:rPr>
          <w:rFonts w:ascii="Arial" w:hAnsi="Arial"/>
          <w:b/>
        </w:rPr>
        <w:t>6</w:t>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6CAAD927" w14:textId="77777777" w:rsidR="002A5CD6" w:rsidRPr="002A5CD6" w:rsidRDefault="002A5CD6" w:rsidP="002A5CD6">
      <w:pPr>
        <w:spacing w:after="0"/>
        <w:rPr>
          <w:rFonts w:ascii="Arial" w:eastAsia="Yu Mincho" w:hAnsi="Arial" w:cs="Arial"/>
        </w:rPr>
      </w:pPr>
    </w:p>
    <w:p w14:paraId="0DE1B9FC" w14:textId="77777777" w:rsidR="005F5EC5" w:rsidRDefault="005F5EC5" w:rsidP="005F5EC5">
      <w:r>
        <w:t>“A non-terrestrial network refers to a network, or a segment of networks using RF resources on board a satellite (or UAS platform).” ([2])</w:t>
      </w:r>
    </w:p>
    <w:p w14:paraId="27A8B850" w14:textId="489A69E3" w:rsidR="005F5EC5" w:rsidRDefault="005F5EC5" w:rsidP="005F5EC5">
      <w:r>
        <w:t>In practice this refers to a UE (</w:t>
      </w:r>
      <w:r w:rsidR="00016830">
        <w:t>e.g.,</w:t>
      </w:r>
      <w:r w:rsidR="00083C23">
        <w:t xml:space="preserve"> </w:t>
      </w:r>
      <w:r>
        <w:t>IoT</w:t>
      </w:r>
      <w:r w:rsidR="00083C23">
        <w:t xml:space="preserve"> Device</w:t>
      </w:r>
      <w:r>
        <w:t>) which is interfaced to a Satellite via the so-called ‘Service link’, the Satellite is interfaced to an NTN Gateway via the so-called ‘Feeder link’, and the NTN Gateway is interfaced to a Core Network and/or Home Network. From RAN architecture and specifically if we consider the Satellite regarding the protocols that need to be supported, then the ‘Transparent Satellite payload’ and the ‘Regenerative Satellite payload’ can be defined.</w:t>
      </w:r>
    </w:p>
    <w:p w14:paraId="0EB39EA5" w14:textId="77777777" w:rsidR="005F5EC5" w:rsidRDefault="005F5EC5" w:rsidP="005F5EC5">
      <w:r>
        <w:t>In the ‘Transparent Satellite payload’ scenario the Satellite does NOT terminate NR-</w:t>
      </w:r>
      <w:proofErr w:type="spellStart"/>
      <w:r>
        <w:t>Uu</w:t>
      </w:r>
      <w:proofErr w:type="spellEnd"/>
      <w:r>
        <w:t>, i.e., it repeats the NR-</w:t>
      </w:r>
      <w:proofErr w:type="spellStart"/>
      <w:r>
        <w:t>Uu</w:t>
      </w:r>
      <w:proofErr w:type="spellEnd"/>
      <w:r>
        <w:t xml:space="preserve"> radio interface from the Feeder link to the Service link and vice versa. Due to fact the Satellite does not process any payload, this ‘Transparent Satellite payload’ scenario is out of scope of this analysis on Store and Forward.</w:t>
      </w:r>
    </w:p>
    <w:p w14:paraId="1BD9E1A8" w14:textId="77777777" w:rsidR="005F5EC5" w:rsidRDefault="005F5EC5" w:rsidP="005F5EC5">
      <w:r>
        <w:t>In the ‘Regenerative Satellite payload' scenario the Satellite is supporting all Radio Network layer protocols and therefore “implements regeneration if the signals received from Earth” ([2]). Due to fact the Satellite is processing payloads, the Satellite can Store and Forward information, and the Satellite can establish communication to neighbour Satellites via Inter Satellite Link (ISL).</w:t>
      </w:r>
    </w:p>
    <w:p w14:paraId="3109221D" w14:textId="77777777" w:rsidR="005F5EC5" w:rsidRDefault="005F5EC5" w:rsidP="005F5EC5"/>
    <w:p w14:paraId="466E7B37" w14:textId="77777777" w:rsidR="005F5EC5" w:rsidRDefault="005F5EC5" w:rsidP="005F5EC5">
      <w:r>
        <w:t xml:space="preserve">Below figure shows the regenerative mode satellite where </w:t>
      </w:r>
      <w:proofErr w:type="spellStart"/>
      <w:r>
        <w:t>gNB</w:t>
      </w:r>
      <w:proofErr w:type="spellEnd"/>
      <w:r>
        <w:t xml:space="preserve"> is on board in satellite between UE and NTN gateway (ground network).</w:t>
      </w:r>
    </w:p>
    <w:p w14:paraId="1779CE2A" w14:textId="77777777" w:rsidR="005F5EC5" w:rsidRDefault="005F5EC5" w:rsidP="005F5EC5"/>
    <w:p w14:paraId="36E6EB4A" w14:textId="77777777" w:rsidR="005F5EC5" w:rsidRDefault="005F5EC5" w:rsidP="005F5EC5">
      <w:r w:rsidRPr="00936E14">
        <w:rPr>
          <w:noProof/>
        </w:rPr>
        <w:drawing>
          <wp:inline distT="0" distB="0" distL="0" distR="0" wp14:anchorId="397901FC" wp14:editId="724E0240">
            <wp:extent cx="6243615" cy="3804249"/>
            <wp:effectExtent l="0" t="0" r="5080" b="6350"/>
            <wp:docPr id="8" name="Picture 7">
              <a:extLst xmlns:a="http://schemas.openxmlformats.org/drawingml/2006/main">
                <a:ext uri="{FF2B5EF4-FFF2-40B4-BE49-F238E27FC236}">
                  <a16:creationId xmlns:a16="http://schemas.microsoft.com/office/drawing/2014/main" id="{CB77EB34-7E95-8BD8-4D88-2197E8E78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B77EB34-7E95-8BD8-4D88-2197E8E78B7C}"/>
                        </a:ext>
                      </a:extLst>
                    </pic:cNvPr>
                    <pic:cNvPicPr>
                      <a:picLocks noChangeAspect="1"/>
                    </pic:cNvPicPr>
                  </pic:nvPicPr>
                  <pic:blipFill>
                    <a:blip r:embed="rId14"/>
                    <a:stretch>
                      <a:fillRect/>
                    </a:stretch>
                  </pic:blipFill>
                  <pic:spPr>
                    <a:xfrm>
                      <a:off x="0" y="0"/>
                      <a:ext cx="6272779" cy="3822019"/>
                    </a:xfrm>
                    <a:prstGeom prst="rect">
                      <a:avLst/>
                    </a:prstGeom>
                  </pic:spPr>
                </pic:pic>
              </a:graphicData>
            </a:graphic>
          </wp:inline>
        </w:drawing>
      </w:r>
    </w:p>
    <w:p w14:paraId="53DD3B0A" w14:textId="77777777" w:rsidR="005F5EC5" w:rsidRDefault="005F5EC5" w:rsidP="005F5EC5">
      <w:r>
        <w:t>Figure 3-1: Regenerative Satellite Mode of Operation (overview)</w:t>
      </w:r>
    </w:p>
    <w:p w14:paraId="692EE192" w14:textId="77777777" w:rsidR="005F5EC5" w:rsidRDefault="005F5EC5" w:rsidP="005F5EC5"/>
    <w:p w14:paraId="4690904E" w14:textId="77777777" w:rsidR="005F5EC5" w:rsidRDefault="005F5EC5" w:rsidP="005F5EC5">
      <w:r>
        <w:t>The following is applicable.</w:t>
      </w:r>
    </w:p>
    <w:p w14:paraId="32FCDA40" w14:textId="77777777" w:rsidR="005F5EC5" w:rsidRDefault="005F5EC5" w:rsidP="005F5EC5">
      <w:pPr>
        <w:pStyle w:val="ListParagraph"/>
        <w:numPr>
          <w:ilvl w:val="0"/>
          <w:numId w:val="26"/>
        </w:numPr>
        <w:shd w:val="clear" w:color="auto" w:fill="FFFFFF"/>
        <w:spacing w:after="120"/>
        <w:contextualSpacing/>
      </w:pPr>
      <w:r>
        <w:lastRenderedPageBreak/>
        <w:t xml:space="preserve">The Satellite is supporting and providing full </w:t>
      </w:r>
      <w:proofErr w:type="spellStart"/>
      <w:r>
        <w:t>gNB</w:t>
      </w:r>
      <w:proofErr w:type="spellEnd"/>
      <w:r>
        <w:t xml:space="preserve"> functionality, i.e., all needed Radio Network Layer (RNL) protocols are supported by the Satellite.</w:t>
      </w:r>
    </w:p>
    <w:p w14:paraId="294DA1E4" w14:textId="66DD1536" w:rsidR="005F5EC5" w:rsidRDefault="005F5EC5" w:rsidP="005F5EC5">
      <w:pPr>
        <w:pStyle w:val="ListParagraph"/>
        <w:numPr>
          <w:ilvl w:val="0"/>
          <w:numId w:val="26"/>
        </w:numPr>
        <w:shd w:val="clear" w:color="auto" w:fill="FFFFFF"/>
        <w:spacing w:after="120"/>
        <w:contextualSpacing/>
      </w:pPr>
      <w:r>
        <w:t xml:space="preserve">The </w:t>
      </w:r>
      <w:proofErr w:type="spellStart"/>
      <w:r>
        <w:t>Uu</w:t>
      </w:r>
      <w:proofErr w:type="spellEnd"/>
      <w:r>
        <w:t>-interface is between the Satellite and the UE and is the so-called Service link.</w:t>
      </w:r>
    </w:p>
    <w:p w14:paraId="22487D19" w14:textId="77777777" w:rsidR="005F5EC5" w:rsidRDefault="005F5EC5" w:rsidP="005F5EC5">
      <w:pPr>
        <w:pStyle w:val="ListParagraph"/>
        <w:numPr>
          <w:ilvl w:val="0"/>
          <w:numId w:val="26"/>
        </w:numPr>
        <w:shd w:val="clear" w:color="auto" w:fill="FFFFFF"/>
        <w:spacing w:after="120"/>
        <w:contextualSpacing/>
      </w:pPr>
      <w:r>
        <w:t>The NG-interface is between the Satellite and the AMF but is routed through the NTN gateway. This Satellite to NTN-gateway interface is the so-called Feeder-link.</w:t>
      </w:r>
    </w:p>
    <w:p w14:paraId="51F3F6AE" w14:textId="77777777" w:rsidR="005F5EC5" w:rsidRDefault="005F5EC5" w:rsidP="005F5EC5">
      <w:r>
        <w:t>For the analysis of the NTN store and forward, the following use cases must be considered as specified by 3GPP TR 22.865 ([1]).</w:t>
      </w:r>
    </w:p>
    <w:p w14:paraId="174B5FCF" w14:textId="77777777" w:rsidR="005F5EC5" w:rsidRDefault="005F5EC5" w:rsidP="005F5EC5"/>
    <w:p w14:paraId="41A73F92" w14:textId="35BB96FC" w:rsidR="005F5EC5" w:rsidRPr="008440B4" w:rsidRDefault="005F5EC5" w:rsidP="005F5EC5">
      <w:pPr>
        <w:rPr>
          <w:b/>
          <w:bCs/>
          <w:i/>
          <w:iCs/>
        </w:rPr>
      </w:pPr>
      <w:r w:rsidRPr="008440B4">
        <w:rPr>
          <w:b/>
          <w:bCs/>
          <w:i/>
          <w:iCs/>
        </w:rPr>
        <w:t xml:space="preserve">Use case on Store and Forward – Mobile </w:t>
      </w:r>
      <w:r w:rsidR="00083C23">
        <w:rPr>
          <w:b/>
          <w:bCs/>
          <w:i/>
          <w:iCs/>
        </w:rPr>
        <w:t>Originated</w:t>
      </w:r>
      <w:r w:rsidR="00083C23" w:rsidRPr="008440B4">
        <w:rPr>
          <w:b/>
          <w:bCs/>
          <w:i/>
          <w:iCs/>
        </w:rPr>
        <w:t xml:space="preserve"> </w:t>
      </w:r>
      <w:r w:rsidRPr="008440B4">
        <w:rPr>
          <w:b/>
          <w:bCs/>
          <w:i/>
          <w:iCs/>
        </w:rPr>
        <w:t>(MO)</w:t>
      </w:r>
    </w:p>
    <w:p w14:paraId="483EA6CB" w14:textId="77777777" w:rsidR="005F5EC5" w:rsidRDefault="005F5EC5" w:rsidP="005F5EC5">
      <w:pPr>
        <w:rPr>
          <w:rFonts w:eastAsia="Calibri"/>
        </w:rPr>
      </w:pPr>
      <w:r>
        <w:t>“</w:t>
      </w: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server. The UE waits for satellite network coverage and sends its message when the satellite passes by. </w:t>
      </w:r>
    </w:p>
    <w:p w14:paraId="2691A306" w14:textId="2790A26B" w:rsidR="005F5EC5" w:rsidRDefault="005F5EC5" w:rsidP="005F5EC5">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 xml:space="preserve">and the satellite providing coverage interact over the service link, allowing the UE to transfer the message to the satellite, which has no connectivity to the ground segment. And consequently, the satellite </w:t>
      </w:r>
      <w:r w:rsidR="00D71A8F">
        <w:rPr>
          <w:rFonts w:eastAsia="Calibri"/>
        </w:rPr>
        <w:t>must</w:t>
      </w:r>
      <w:r>
        <w:rPr>
          <w:rFonts w:eastAsia="Calibri"/>
        </w:rPr>
        <w:t xml:space="preserve"> store locally the received message.” (</w:t>
      </w:r>
      <w:r w:rsidR="00D71A8F">
        <w:rPr>
          <w:rFonts w:eastAsia="Calibri"/>
        </w:rPr>
        <w:t>Refer</w:t>
      </w:r>
      <w:r>
        <w:rPr>
          <w:rFonts w:eastAsia="Calibri"/>
        </w:rPr>
        <w:t xml:space="preserve"> to [1])</w:t>
      </w:r>
    </w:p>
    <w:p w14:paraId="3C27D886" w14:textId="77777777" w:rsidR="005F5EC5" w:rsidRDefault="005F5EC5" w:rsidP="005F5EC5">
      <w:r>
        <w:t>Potential new Requirements (Note1):</w:t>
      </w:r>
    </w:p>
    <w:p w14:paraId="5FAA611F" w14:textId="77777777" w:rsidR="005F5EC5" w:rsidRDefault="005F5EC5" w:rsidP="005F5EC5">
      <w:pPr>
        <w:rPr>
          <w:color w:val="000000"/>
        </w:rPr>
      </w:pPr>
      <w:r>
        <w:t>[</w:t>
      </w:r>
      <w:proofErr w:type="spellStart"/>
      <w:r>
        <w:t>Req</w:t>
      </w:r>
      <w:proofErr w:type="spellEnd"/>
      <w:r>
        <w:t xml:space="preserve"> MO-1]: “</w:t>
      </w:r>
      <w:r>
        <w:rPr>
          <w:color w:val="000000"/>
        </w:rPr>
        <w:t>The 5G system with satellite access shall be able to support store and forward operation.”</w:t>
      </w:r>
    </w:p>
    <w:p w14:paraId="265CD74D" w14:textId="77777777" w:rsidR="005F5EC5" w:rsidRDefault="005F5EC5" w:rsidP="005F5EC5">
      <w:r>
        <w:t>[</w:t>
      </w:r>
      <w:proofErr w:type="spellStart"/>
      <w:r>
        <w:t>Req</w:t>
      </w:r>
      <w:proofErr w:type="spellEnd"/>
      <w:r>
        <w:t xml:space="preserve"> MO-2]: “</w:t>
      </w:r>
      <w:r>
        <w:rPr>
          <w:color w:val="000000"/>
        </w:rPr>
        <w:t>The 5G system with satellite access shall be able to inform a UE that "store and forward" operation is applied.”</w:t>
      </w:r>
    </w:p>
    <w:p w14:paraId="52BC742C" w14:textId="77777777" w:rsidR="005F5EC5" w:rsidRDefault="005F5EC5" w:rsidP="005F5EC5">
      <w:r>
        <w:t>[</w:t>
      </w:r>
      <w:proofErr w:type="spellStart"/>
      <w:r>
        <w:t>Req</w:t>
      </w:r>
      <w:proofErr w:type="spellEnd"/>
      <w:r>
        <w:t xml:space="preserve"> MO-3]: “</w:t>
      </w:r>
      <w:r>
        <w:rPr>
          <w:rFonts w:eastAsia="Calibri"/>
        </w:rPr>
        <w:t>The 5G system with satellite access shall be able to provide integrity protection and confidentiality for communications between an authorized UE and the network when store and forward operation is applied.”</w:t>
      </w:r>
    </w:p>
    <w:p w14:paraId="22C1959A" w14:textId="77777777" w:rsidR="005F5EC5" w:rsidRDefault="005F5EC5" w:rsidP="005F5EC5"/>
    <w:p w14:paraId="7794F1B6" w14:textId="18017492" w:rsidR="005F5EC5" w:rsidRPr="00FB4ED3" w:rsidRDefault="005F5EC5" w:rsidP="005F5EC5">
      <w:pPr>
        <w:rPr>
          <w:b/>
          <w:bCs/>
          <w:i/>
          <w:iCs/>
        </w:rPr>
      </w:pPr>
      <w:r w:rsidRPr="00FB4ED3">
        <w:rPr>
          <w:b/>
          <w:bCs/>
          <w:i/>
          <w:iCs/>
        </w:rPr>
        <w:t xml:space="preserve">Use case on Store and Forward – Mobile </w:t>
      </w:r>
      <w:r w:rsidR="00083C23">
        <w:rPr>
          <w:b/>
          <w:bCs/>
          <w:i/>
          <w:iCs/>
        </w:rPr>
        <w:t>Terminated</w:t>
      </w:r>
      <w:r w:rsidR="00083C23" w:rsidRPr="00FB4ED3">
        <w:rPr>
          <w:b/>
          <w:bCs/>
          <w:i/>
          <w:iCs/>
        </w:rPr>
        <w:t xml:space="preserve"> </w:t>
      </w:r>
      <w:r w:rsidRPr="00FB4ED3">
        <w:rPr>
          <w:b/>
          <w:bCs/>
          <w:i/>
          <w:iCs/>
        </w:rPr>
        <w:t>(M</w:t>
      </w:r>
      <w:r w:rsidR="00083C23">
        <w:rPr>
          <w:b/>
          <w:bCs/>
          <w:i/>
          <w:iCs/>
        </w:rPr>
        <w:t>T</w:t>
      </w:r>
      <w:r w:rsidRPr="00FB4ED3">
        <w:rPr>
          <w:b/>
          <w:bCs/>
          <w:i/>
          <w:iCs/>
        </w:rPr>
        <w:t>)</w:t>
      </w:r>
    </w:p>
    <w:p w14:paraId="2809B8DF" w14:textId="77777777" w:rsidR="005F5EC5" w:rsidRDefault="005F5EC5" w:rsidP="005F5EC5">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UE</w:t>
      </w:r>
      <w:r>
        <w:rPr>
          <w:rFonts w:eastAsia="Calibri"/>
        </w:rPr>
        <w:t xml:space="preserve">. </w:t>
      </w:r>
      <w:r>
        <w:rPr>
          <w:lang w:eastAsia="zh-CN"/>
        </w:rPr>
        <w:t>Based on the information provided by the network, the application server is aware that the communication with UE is in S&amp;F mode.</w:t>
      </w:r>
    </w:p>
    <w:p w14:paraId="18061044" w14:textId="77777777" w:rsidR="005F5EC5" w:rsidRDefault="005F5EC5" w:rsidP="005F5EC5">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 message will send </w:t>
      </w:r>
      <w:r>
        <w:rPr>
          <w:rFonts w:eastAsia="DengXian"/>
          <w:lang w:eastAsia="zh-CN"/>
        </w:rPr>
        <w:t xml:space="preserve">new parameters through dedicated </w:t>
      </w:r>
      <w:r>
        <w:rPr>
          <w:rFonts w:eastAsia="Calibri"/>
        </w:rPr>
        <w:t>message</w:t>
      </w:r>
      <w:r>
        <w:rPr>
          <w:rFonts w:eastAsia="DengXian"/>
          <w:lang w:eastAsia="zh-CN"/>
        </w:rPr>
        <w:t>s</w:t>
      </w:r>
      <w:r>
        <w:rPr>
          <w:rFonts w:eastAsia="Calibri"/>
        </w:rPr>
        <w:t xml:space="preserve"> by conventional means (e.g. IP routing, tunnels) to the network entry-point (e.g. a SCEF, PDN-GW, SMSC), and may provide </w:t>
      </w:r>
      <w:r>
        <w:rPr>
          <w:rFonts w:eastAsia="DengXian"/>
          <w:lang w:eastAsia="zh-CN"/>
        </w:rPr>
        <w:t>additional information about the delivery priority, the acknowledgement, etc. to the network</w:t>
      </w:r>
      <w:r>
        <w:rPr>
          <w:rFonts w:eastAsia="Calibri"/>
        </w:rPr>
        <w:t xml:space="preserve">. </w:t>
      </w:r>
    </w:p>
    <w:p w14:paraId="3BAABE98" w14:textId="77777777" w:rsidR="005F5EC5" w:rsidRDefault="005F5EC5" w:rsidP="005F5EC5">
      <w:pPr>
        <w:rPr>
          <w:rFonts w:eastAsia="Calibri"/>
        </w:rPr>
      </w:pPr>
      <w:r>
        <w:rPr>
          <w:rFonts w:eastAsia="Calibri"/>
        </w:rPr>
        <w:t>At this point:</w:t>
      </w:r>
    </w:p>
    <w:p w14:paraId="205EA869" w14:textId="77777777" w:rsidR="005F5EC5" w:rsidRDefault="005F5EC5" w:rsidP="005F5EC5">
      <w:pPr>
        <w:numPr>
          <w:ilvl w:val="0"/>
          <w:numId w:val="27"/>
        </w:numPr>
        <w:spacing w:after="120"/>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6A6F79CA" w14:textId="77777777" w:rsidR="005F5EC5" w:rsidRDefault="005F5EC5" w:rsidP="005F5EC5">
      <w:pPr>
        <w:numPr>
          <w:ilvl w:val="0"/>
          <w:numId w:val="27"/>
        </w:numPr>
        <w:spacing w:after="120"/>
        <w:rPr>
          <w:rFonts w:eastAsia="Calibri"/>
        </w:rPr>
      </w:pPr>
      <w:r>
        <w:rPr>
          <w:rFonts w:eastAsia="Calibri"/>
        </w:rPr>
        <w:t xml:space="preserve">Forwarding priority to the UE could be established. </w:t>
      </w:r>
    </w:p>
    <w:p w14:paraId="51A03CAF" w14:textId="20214FAF" w:rsidR="005F5EC5" w:rsidRDefault="005F5EC5" w:rsidP="005F5EC5">
      <w:pPr>
        <w:numPr>
          <w:ilvl w:val="0"/>
          <w:numId w:val="27"/>
        </w:numPr>
        <w:spacing w:after="120"/>
        <w:rPr>
          <w:rFonts w:eastAsia="Calibri"/>
        </w:rPr>
      </w:pPr>
      <w:r>
        <w:rPr>
          <w:rFonts w:eastAsia="Calibri"/>
        </w:rPr>
        <w:t xml:space="preserve">Acknowledgement of the received data by the </w:t>
      </w:r>
      <w:r>
        <w:rPr>
          <w:lang w:eastAsia="zh-CN"/>
        </w:rPr>
        <w:t>network</w:t>
      </w:r>
      <w:r>
        <w:rPr>
          <w:rFonts w:eastAsia="Calibri"/>
        </w:rPr>
        <w:t xml:space="preserve"> could be issued </w:t>
      </w:r>
      <w:r>
        <w:rPr>
          <w:rFonts w:eastAsia="DengXian"/>
          <w:lang w:eastAsia="zh-CN"/>
        </w:rPr>
        <w:t>to the application server, possibly with the additional information about the store and forward, e.g.</w:t>
      </w:r>
      <w:r w:rsidR="00D71A8F">
        <w:rPr>
          <w:rFonts w:eastAsia="DengXian"/>
          <w:lang w:eastAsia="zh-CN"/>
        </w:rPr>
        <w:t>,</w:t>
      </w:r>
      <w:r>
        <w:rPr>
          <w:rFonts w:eastAsia="DengXian"/>
          <w:lang w:eastAsia="zh-CN"/>
        </w:rPr>
        <w:t xml:space="preserve"> estimated time to deliver the messages</w:t>
      </w:r>
      <w:r>
        <w:rPr>
          <w:rFonts w:eastAsia="Calibri"/>
        </w:rPr>
        <w:t xml:space="preserve">. </w:t>
      </w:r>
    </w:p>
    <w:p w14:paraId="0B44DA8C" w14:textId="77777777" w:rsidR="005F5EC5" w:rsidRDefault="005F5EC5" w:rsidP="005F5EC5">
      <w:pPr>
        <w:numPr>
          <w:ilvl w:val="0"/>
          <w:numId w:val="27"/>
        </w:numPr>
        <w:spacing w:after="120"/>
        <w:rPr>
          <w:rFonts w:eastAsia="Calibri"/>
        </w:rPr>
      </w:pPr>
      <w:r>
        <w:rPr>
          <w:rFonts w:eastAsia="Calibri"/>
        </w:rPr>
        <w:t xml:space="preserve">End-to-end acknowledgement policy can be established. </w:t>
      </w:r>
    </w:p>
    <w:p w14:paraId="6B80DF95" w14:textId="77777777" w:rsidR="005F5EC5" w:rsidRDefault="005F5EC5" w:rsidP="005F5EC5">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4A0E5635" w14:textId="38FA9D81" w:rsidR="005F5EC5" w:rsidRDefault="005F5EC5" w:rsidP="005F5EC5">
      <w:pPr>
        <w:rPr>
          <w:rFonts w:eastAsia="Calibri"/>
        </w:rPr>
      </w:pPr>
      <w:r>
        <w:rPr>
          <w:rFonts w:eastAsia="Calibri"/>
        </w:rPr>
        <w:t xml:space="preserve">When the satellite is connected via the feeder link to the ground network, the message is uploaded into the satellite. </w:t>
      </w:r>
      <w:r>
        <w:rPr>
          <w:lang w:eastAsia="zh-CN" w:bidi="ar"/>
        </w:rPr>
        <w:t>All accumulated and stored MT messages are uploaded into the satellite via the feeder link. At the same time, all accumulated and stored MO messages are also delivered to 5GC via the same feeder link, which will cause a performance impact on the feeder link, satellite, and 5GC. It needs a performance optimization method here.</w:t>
      </w:r>
      <w:r w:rsidR="00D71A8F">
        <w:rPr>
          <w:lang w:eastAsia="zh-CN" w:bidi="ar"/>
        </w:rPr>
        <w:t xml:space="preserve"> </w:t>
      </w: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230E0B7E" w14:textId="201EBFCD" w:rsidR="005F5EC5" w:rsidRDefault="005F5EC5" w:rsidP="005F5EC5">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Acknowledgment may be requested/issued. Mechanisms to ensure integrity of the delivered information may be in place.” (</w:t>
      </w:r>
      <w:r w:rsidR="00D71A8F">
        <w:rPr>
          <w:rFonts w:eastAsia="Calibri"/>
        </w:rPr>
        <w:t>Refer</w:t>
      </w:r>
      <w:r>
        <w:rPr>
          <w:rFonts w:eastAsia="Calibri"/>
        </w:rPr>
        <w:t xml:space="preserve"> to [1]) </w:t>
      </w:r>
    </w:p>
    <w:p w14:paraId="70FA2AB7" w14:textId="77777777" w:rsidR="00D71A8F" w:rsidRDefault="00D71A8F" w:rsidP="005F5EC5"/>
    <w:p w14:paraId="04E02FA3" w14:textId="72B3A627" w:rsidR="005F5EC5" w:rsidRDefault="005F5EC5" w:rsidP="005F5EC5">
      <w:r>
        <w:t xml:space="preserve">Note1: </w:t>
      </w:r>
      <w:r w:rsidRPr="00D71A8F">
        <w:rPr>
          <w:rStyle w:val="word"/>
          <w:rFonts w:ascii="Arial Unicode MS" w:hAnsi="Arial Unicode MS"/>
          <w:color w:val="353536"/>
          <w:highlight w:val="yellow"/>
          <w:shd w:val="clear" w:color="auto" w:fill="EDEEF0"/>
        </w:rPr>
        <w:t>Only</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the</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requirements</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that</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are</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relevant</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for</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the</w:t>
      </w:r>
      <w:r w:rsidRPr="00D71A8F">
        <w:rPr>
          <w:rFonts w:ascii="Arial Unicode MS" w:hAnsi="Arial Unicode MS"/>
          <w:color w:val="353536"/>
          <w:highlight w:val="yellow"/>
          <w:shd w:val="clear" w:color="auto" w:fill="EDEEF0"/>
        </w:rPr>
        <w:t xml:space="preserve"> basic </w:t>
      </w:r>
      <w:r w:rsidRPr="00D71A8F">
        <w:rPr>
          <w:rStyle w:val="word"/>
          <w:rFonts w:ascii="Arial Unicode MS" w:hAnsi="Arial Unicode MS"/>
          <w:color w:val="353536"/>
          <w:highlight w:val="yellow"/>
          <w:shd w:val="clear" w:color="auto" w:fill="EDEEF0"/>
        </w:rPr>
        <w:t>understanding</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and</w:t>
      </w:r>
      <w:r w:rsidRPr="00D71A8F">
        <w:rPr>
          <w:rFonts w:ascii="Arial Unicode MS" w:hAnsi="Arial Unicode MS"/>
          <w:color w:val="353536"/>
          <w:highlight w:val="yellow"/>
          <w:shd w:val="clear" w:color="auto" w:fill="EDEEF0"/>
        </w:rPr>
        <w:t xml:space="preserve"> the </w:t>
      </w:r>
      <w:r w:rsidRPr="00D71A8F">
        <w:rPr>
          <w:rStyle w:val="word"/>
          <w:rFonts w:ascii="Arial Unicode MS" w:hAnsi="Arial Unicode MS"/>
          <w:color w:val="353536"/>
          <w:highlight w:val="yellow"/>
          <w:shd w:val="clear" w:color="auto" w:fill="EDEEF0"/>
        </w:rPr>
        <w:t>analysis</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are</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listed</w:t>
      </w:r>
      <w:r w:rsidRPr="00D71A8F">
        <w:rPr>
          <w:rFonts w:ascii="Arial Unicode MS" w:hAnsi="Arial Unicode MS"/>
          <w:color w:val="353536"/>
          <w:highlight w:val="yellow"/>
          <w:shd w:val="clear" w:color="auto" w:fill="EDEEF0"/>
        </w:rPr>
        <w:t xml:space="preserve"> </w:t>
      </w:r>
      <w:r w:rsidRPr="00D71A8F">
        <w:rPr>
          <w:rStyle w:val="word"/>
          <w:rFonts w:ascii="Arial Unicode MS" w:hAnsi="Arial Unicode MS"/>
          <w:color w:val="353536"/>
          <w:highlight w:val="yellow"/>
          <w:shd w:val="clear" w:color="auto" w:fill="EDEEF0"/>
        </w:rPr>
        <w:t>here</w:t>
      </w:r>
      <w:r w:rsidRPr="00D71A8F">
        <w:rPr>
          <w:rFonts w:ascii="Arial Unicode MS" w:hAnsi="Arial Unicode MS"/>
          <w:color w:val="353536"/>
          <w:highlight w:val="yellow"/>
          <w:shd w:val="clear" w:color="auto" w:fill="EDEEF0"/>
        </w:rPr>
        <w:t>.</w:t>
      </w:r>
    </w:p>
    <w:p w14:paraId="27902EF9" w14:textId="77777777" w:rsidR="005F5EC5" w:rsidRDefault="005F5EC5" w:rsidP="005F5EC5"/>
    <w:p w14:paraId="6166C71E" w14:textId="77777777" w:rsidR="005F5EC5" w:rsidRDefault="005F5EC5" w:rsidP="005F5EC5">
      <w:r>
        <w:t>Potential new Requirements (Note1):</w:t>
      </w:r>
    </w:p>
    <w:p w14:paraId="3EF1C0BC" w14:textId="77777777" w:rsidR="005F5EC5" w:rsidRDefault="005F5EC5" w:rsidP="005F5EC5">
      <w:pPr>
        <w:rPr>
          <w:color w:val="000000"/>
        </w:rPr>
      </w:pPr>
      <w:r>
        <w:rPr>
          <w:color w:val="000000"/>
        </w:rPr>
        <w:lastRenderedPageBreak/>
        <w:t>[</w:t>
      </w:r>
      <w:proofErr w:type="spellStart"/>
      <w:r>
        <w:rPr>
          <w:color w:val="000000"/>
        </w:rPr>
        <w:t>Req</w:t>
      </w:r>
      <w:proofErr w:type="spellEnd"/>
      <w:r>
        <w:rPr>
          <w:color w:val="000000"/>
        </w:rPr>
        <w:t xml:space="preserve"> MT-1]: “The 5G system with satellite access shall be able to inform a trusted application server whether store and forward operation is applied for communication with a UE.”</w:t>
      </w:r>
    </w:p>
    <w:p w14:paraId="5B7BC948" w14:textId="77777777" w:rsidR="005F5EC5" w:rsidRDefault="005F5EC5" w:rsidP="005F5EC5">
      <w:r>
        <w:rPr>
          <w:color w:val="000000"/>
        </w:rPr>
        <w:t>[</w:t>
      </w:r>
      <w:proofErr w:type="spellStart"/>
      <w:r>
        <w:rPr>
          <w:color w:val="000000"/>
        </w:rPr>
        <w:t>Req</w:t>
      </w:r>
      <w:proofErr w:type="spellEnd"/>
      <w:r>
        <w:rPr>
          <w:color w:val="000000"/>
        </w:rPr>
        <w:t xml:space="preserve"> MT-2]: “The 5G system with satellite access shall be able to provide integrity protection and confidentiality for communications between an authorized UE and the network when store and forward operation is applied.”</w:t>
      </w:r>
    </w:p>
    <w:p w14:paraId="36E5B8F5" w14:textId="77777777" w:rsidR="005F5EC5" w:rsidRDefault="005F5EC5" w:rsidP="005F5EC5"/>
    <w:p w14:paraId="25F554C4" w14:textId="77777777" w:rsidR="005F5EC5" w:rsidRDefault="005F5EC5" w:rsidP="005F5EC5"/>
    <w:p w14:paraId="4FC19ACD" w14:textId="77777777" w:rsidR="005F5EC5" w:rsidRPr="00FB4ED3" w:rsidRDefault="005F5EC5" w:rsidP="005F5EC5">
      <w:pPr>
        <w:rPr>
          <w:b/>
          <w:bCs/>
          <w:i/>
          <w:iCs/>
        </w:rPr>
      </w:pPr>
      <w:r w:rsidRPr="00FB4ED3">
        <w:rPr>
          <w:b/>
          <w:bCs/>
          <w:i/>
          <w:iCs/>
        </w:rPr>
        <w:t xml:space="preserve">Use case on Store and Forward – </w:t>
      </w:r>
      <w:r>
        <w:rPr>
          <w:b/>
          <w:bCs/>
          <w:i/>
          <w:iCs/>
        </w:rPr>
        <w:t>Inter Satellite</w:t>
      </w:r>
    </w:p>
    <w:p w14:paraId="515C7BC5" w14:textId="77777777" w:rsidR="005F5EC5" w:rsidRDefault="005F5EC5" w:rsidP="005F5EC5">
      <w:r>
        <w:t>For the analysis of the security for Store and Forward in case of inter satellite communication the following architecture deployments as depicted by Figure 3-2 and Figure 3-3 can be taken to consideration.</w:t>
      </w:r>
    </w:p>
    <w:p w14:paraId="6405117A" w14:textId="77777777" w:rsidR="005F5EC5" w:rsidRDefault="005F5EC5" w:rsidP="005F5EC5"/>
    <w:p w14:paraId="317C5827" w14:textId="77777777" w:rsidR="005F5EC5" w:rsidRDefault="005F5EC5" w:rsidP="005F5EC5">
      <w:pPr>
        <w:jc w:val="center"/>
      </w:pPr>
      <w:r w:rsidRPr="00DF7779">
        <w:rPr>
          <w:noProof/>
        </w:rPr>
        <w:drawing>
          <wp:inline distT="0" distB="0" distL="0" distR="0" wp14:anchorId="35B94C0F" wp14:editId="20A7AA33">
            <wp:extent cx="3704762" cy="2914286"/>
            <wp:effectExtent l="0" t="0" r="0" b="635"/>
            <wp:docPr id="2" name="Picture 2" descr="A diagram of a satellite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atellite link&#10;&#10;Description automatically generated"/>
                    <pic:cNvPicPr/>
                  </pic:nvPicPr>
                  <pic:blipFill>
                    <a:blip r:embed="rId15"/>
                    <a:stretch>
                      <a:fillRect/>
                    </a:stretch>
                  </pic:blipFill>
                  <pic:spPr>
                    <a:xfrm>
                      <a:off x="0" y="0"/>
                      <a:ext cx="3704762" cy="2914286"/>
                    </a:xfrm>
                    <a:prstGeom prst="rect">
                      <a:avLst/>
                    </a:prstGeom>
                  </pic:spPr>
                </pic:pic>
              </a:graphicData>
            </a:graphic>
          </wp:inline>
        </w:drawing>
      </w:r>
    </w:p>
    <w:p w14:paraId="0A4E9A0D" w14:textId="77777777" w:rsidR="005F5EC5" w:rsidRDefault="005F5EC5" w:rsidP="005F5EC5">
      <w:pPr>
        <w:rPr>
          <w:lang w:eastAsia="zh-CN"/>
        </w:rPr>
      </w:pPr>
      <w:r>
        <w:t xml:space="preserve">Figure 3-2: </w:t>
      </w:r>
      <w:r>
        <w:rPr>
          <w:lang w:eastAsia="zh-CN"/>
        </w:rPr>
        <w:t>Serving satellite change during the feeder link disconnection - IoT device moving</w:t>
      </w:r>
    </w:p>
    <w:p w14:paraId="04789BF3" w14:textId="77777777" w:rsidR="005F5EC5" w:rsidRDefault="005F5EC5" w:rsidP="005F5EC5">
      <w:pPr>
        <w:rPr>
          <w:lang w:eastAsia="zh-CN"/>
        </w:rPr>
      </w:pPr>
    </w:p>
    <w:p w14:paraId="220367BC" w14:textId="77777777" w:rsidR="005F5EC5" w:rsidRDefault="005F5EC5" w:rsidP="005F5EC5"/>
    <w:p w14:paraId="77AF6272" w14:textId="77777777" w:rsidR="005F5EC5" w:rsidRDefault="005F5EC5" w:rsidP="005F5EC5"/>
    <w:p w14:paraId="1E60B6BD" w14:textId="77777777" w:rsidR="005F5EC5" w:rsidRDefault="005F5EC5" w:rsidP="005F5EC5"/>
    <w:p w14:paraId="7F4F25EE" w14:textId="77777777" w:rsidR="005F5EC5" w:rsidRDefault="005F5EC5" w:rsidP="005F5EC5"/>
    <w:p w14:paraId="1A6F2149" w14:textId="77777777" w:rsidR="005F5EC5" w:rsidRDefault="005F5EC5" w:rsidP="005F5EC5">
      <w:pPr>
        <w:jc w:val="center"/>
      </w:pPr>
      <w:r w:rsidRPr="00FA0A35">
        <w:rPr>
          <w:noProof/>
        </w:rPr>
        <w:lastRenderedPageBreak/>
        <w:drawing>
          <wp:inline distT="0" distB="0" distL="0" distR="0" wp14:anchorId="5B393CB2" wp14:editId="3DDA4E28">
            <wp:extent cx="3923809" cy="3019048"/>
            <wp:effectExtent l="0" t="0" r="635" b="0"/>
            <wp:docPr id="6" name="Picture 6" descr="A diagram of a satellite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satellite link&#10;&#10;Description automatically generated"/>
                    <pic:cNvPicPr/>
                  </pic:nvPicPr>
                  <pic:blipFill>
                    <a:blip r:embed="rId16"/>
                    <a:stretch>
                      <a:fillRect/>
                    </a:stretch>
                  </pic:blipFill>
                  <pic:spPr>
                    <a:xfrm>
                      <a:off x="0" y="0"/>
                      <a:ext cx="3923809" cy="3019048"/>
                    </a:xfrm>
                    <a:prstGeom prst="rect">
                      <a:avLst/>
                    </a:prstGeom>
                  </pic:spPr>
                </pic:pic>
              </a:graphicData>
            </a:graphic>
          </wp:inline>
        </w:drawing>
      </w:r>
    </w:p>
    <w:p w14:paraId="345CB0E2" w14:textId="77777777" w:rsidR="005F5EC5" w:rsidRDefault="005F5EC5" w:rsidP="005F5EC5">
      <w:r>
        <w:t xml:space="preserve">Figure 3-3: </w:t>
      </w:r>
      <w:r>
        <w:rPr>
          <w:lang w:eastAsia="zh-CN"/>
        </w:rPr>
        <w:t>Serving satellite change during the feeder link disconnection - satellite moving</w:t>
      </w:r>
    </w:p>
    <w:p w14:paraId="62FA8CE4" w14:textId="77777777" w:rsidR="005F5EC5" w:rsidRDefault="005F5EC5" w:rsidP="005F5EC5"/>
    <w:p w14:paraId="40FBE8E9" w14:textId="77777777" w:rsidR="005F5EC5" w:rsidRDefault="005F5EC5" w:rsidP="005F5EC5">
      <w:r>
        <w:t>The following is applicable:</w:t>
      </w:r>
    </w:p>
    <w:p w14:paraId="1B230392" w14:textId="77777777" w:rsidR="005F5EC5" w:rsidRDefault="005F5EC5" w:rsidP="005F5EC5">
      <w:pPr>
        <w:rPr>
          <w:lang w:eastAsia="zh-CN"/>
        </w:rPr>
      </w:pPr>
      <w:r>
        <w:rPr>
          <w:lang w:eastAsia="zh-CN"/>
        </w:rPr>
        <w:t xml:space="preserve">“As shown in Figure 3-2, a mobile IoT device may move from the coverage of one satellite to the other (e.g. containers tracing and tracking), or as shown in Figure 3-3, a </w:t>
      </w:r>
      <w:bookmarkStart w:id="3" w:name="OLE_LINK7"/>
      <w:r>
        <w:rPr>
          <w:lang w:eastAsia="zh-CN"/>
        </w:rPr>
        <w:t>NGSO</w:t>
      </w:r>
      <w:bookmarkEnd w:id="3"/>
      <w:r>
        <w:rPr>
          <w:lang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w:t>
      </w:r>
    </w:p>
    <w:p w14:paraId="294CB21C" w14:textId="77777777" w:rsidR="005F5EC5" w:rsidRDefault="005F5EC5" w:rsidP="005F5EC5">
      <w:pPr>
        <w:rPr>
          <w:lang w:eastAsia="zh-CN"/>
        </w:rPr>
      </w:pPr>
      <w:r>
        <w:rPr>
          <w:lang w:eastAsia="zh-CN"/>
        </w:rPr>
        <w:t xml:space="preserve">Meanwhile, if the feeder link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14:paraId="7E59AD3E" w14:textId="77777777" w:rsidR="005F5EC5" w:rsidRDefault="005F5EC5" w:rsidP="005F5EC5">
      <w:pPr>
        <w:rPr>
          <w:lang w:eastAsia="zh-CN"/>
        </w:rPr>
      </w:pPr>
      <w:r>
        <w:rPr>
          <w:lang w:eastAsia="zh-CN"/>
        </w:rPr>
        <w:t xml:space="preserve">Significantly, during the period that the feeder link is unavailable, the serving satellite only stores or forwards (Inter-satellite)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w:t>
      </w:r>
      <w:proofErr w:type="spellStart"/>
      <w:r>
        <w:rPr>
          <w:lang w:eastAsia="zh-CN"/>
        </w:rPr>
        <w:t>fulfill</w:t>
      </w:r>
      <w:proofErr w:type="spellEnd"/>
      <w:r>
        <w:rPr>
          <w:lang w:eastAsia="zh-CN"/>
        </w:rPr>
        <w:t xml:space="preserve"> common communication procedures and it will refuse any access from an unregistered device. </w:t>
      </w:r>
    </w:p>
    <w:p w14:paraId="515811E4" w14:textId="76995F6E" w:rsidR="005F5EC5" w:rsidRDefault="005F5EC5" w:rsidP="005F5EC5">
      <w:pPr>
        <w:rPr>
          <w:lang w:eastAsia="zh-CN"/>
        </w:rPr>
      </w:pPr>
      <w:r>
        <w:rPr>
          <w:lang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r w:rsidR="00D71A8F">
        <w:rPr>
          <w:lang w:eastAsia="zh-CN"/>
        </w:rPr>
        <w:t>“(R</w:t>
      </w:r>
      <w:r>
        <w:rPr>
          <w:lang w:eastAsia="zh-CN"/>
        </w:rPr>
        <w:t>efer to [1])</w:t>
      </w:r>
    </w:p>
    <w:p w14:paraId="3AB34719" w14:textId="77777777" w:rsidR="005F5EC5" w:rsidRDefault="005F5EC5" w:rsidP="005F5EC5"/>
    <w:p w14:paraId="0ABB59CF" w14:textId="77777777" w:rsidR="005F5EC5" w:rsidRDefault="005F5EC5" w:rsidP="005F5EC5">
      <w:r>
        <w:t>Potential new Requirements (Note1):</w:t>
      </w:r>
    </w:p>
    <w:p w14:paraId="507117DD" w14:textId="77777777" w:rsidR="005F5EC5" w:rsidRDefault="005F5EC5" w:rsidP="005F5EC5">
      <w:r>
        <w:rPr>
          <w:color w:val="000000"/>
        </w:rPr>
        <w:t>[</w:t>
      </w:r>
      <w:proofErr w:type="spellStart"/>
      <w:r>
        <w:rPr>
          <w:color w:val="000000"/>
        </w:rPr>
        <w:t>Req</w:t>
      </w:r>
      <w:proofErr w:type="spellEnd"/>
      <w:r>
        <w:rPr>
          <w:color w:val="000000"/>
        </w:rPr>
        <w:t xml:space="preserve"> IS-1]: </w:t>
      </w:r>
      <w:r>
        <w:t>“Subject to operator’s policies, a 5G system with satellite access shall be able to support forwarding of the stored data received from authorized UEs using delay-tolerant communication service from one satellite to another satellite through Inter-Satellite Links while preserving integrity protection, confidentiality and security of the data.”</w:t>
      </w:r>
    </w:p>
    <w:p w14:paraId="1DAD65EF" w14:textId="77777777" w:rsidR="005F5EC5" w:rsidRDefault="005F5EC5" w:rsidP="005F5EC5"/>
    <w:p w14:paraId="202C43D7" w14:textId="77777777" w:rsidR="005F5EC5" w:rsidRDefault="005F5EC5" w:rsidP="005F5EC5"/>
    <w:p w14:paraId="5D33438E" w14:textId="77777777" w:rsidR="005F5EC5" w:rsidRDefault="005F5EC5" w:rsidP="005F5EC5"/>
    <w:p w14:paraId="12B37E1F" w14:textId="77777777" w:rsidR="005F5EC5" w:rsidRDefault="005F5EC5" w:rsidP="005F5EC5"/>
    <w:p w14:paraId="0AFA3572" w14:textId="0AE1C302" w:rsidR="005F5EC5" w:rsidRDefault="005F5EC5" w:rsidP="005F5EC5">
      <w:r>
        <w:t>If we consider for the communication between UE and HN, then for AS, NAS and UP, the data flows as shown by Figure 3-4 and Figure 3-5 apply.</w:t>
      </w:r>
    </w:p>
    <w:p w14:paraId="3BE10326" w14:textId="77777777" w:rsidR="005F5EC5" w:rsidRDefault="005F5EC5" w:rsidP="005F5EC5">
      <w:pPr>
        <w:jc w:val="center"/>
      </w:pPr>
      <w:r w:rsidRPr="00F66207">
        <w:rPr>
          <w:noProof/>
        </w:rPr>
        <w:lastRenderedPageBreak/>
        <w:drawing>
          <wp:inline distT="0" distB="0" distL="0" distR="0" wp14:anchorId="7AF53808" wp14:editId="2C739381">
            <wp:extent cx="3866667" cy="1828571"/>
            <wp:effectExtent l="0" t="0" r="635" b="635"/>
            <wp:docPr id="9" name="Picture 9"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satellite network&#10;&#10;Description automatically generated"/>
                    <pic:cNvPicPr/>
                  </pic:nvPicPr>
                  <pic:blipFill>
                    <a:blip r:embed="rId17"/>
                    <a:stretch>
                      <a:fillRect/>
                    </a:stretch>
                  </pic:blipFill>
                  <pic:spPr>
                    <a:xfrm>
                      <a:off x="0" y="0"/>
                      <a:ext cx="3866667" cy="1828571"/>
                    </a:xfrm>
                    <a:prstGeom prst="rect">
                      <a:avLst/>
                    </a:prstGeom>
                  </pic:spPr>
                </pic:pic>
              </a:graphicData>
            </a:graphic>
          </wp:inline>
        </w:drawing>
      </w:r>
    </w:p>
    <w:p w14:paraId="42428D24" w14:textId="77777777" w:rsidR="005F5EC5" w:rsidRDefault="005F5EC5" w:rsidP="005F5EC5">
      <w:r>
        <w:t>Figure 3-4: User Plane Protocol Stack</w:t>
      </w:r>
    </w:p>
    <w:p w14:paraId="0E2D6ABC" w14:textId="77777777" w:rsidR="005F5EC5" w:rsidRDefault="005F5EC5" w:rsidP="005F5EC5">
      <w:r>
        <w:t>The following is applicable:</w:t>
      </w:r>
    </w:p>
    <w:p w14:paraId="7F645ACD" w14:textId="1202DF86" w:rsidR="005F5EC5" w:rsidRDefault="005F5EC5" w:rsidP="005F5EC5">
      <w:pPr>
        <w:pStyle w:val="ListParagraph"/>
        <w:numPr>
          <w:ilvl w:val="0"/>
          <w:numId w:val="28"/>
        </w:numPr>
        <w:shd w:val="clear" w:color="auto" w:fill="FFFFFF"/>
        <w:spacing w:after="120"/>
        <w:contextualSpacing/>
      </w:pPr>
      <w:r>
        <w:t>The end-to-end communication path is between the UE and the UPF.</w:t>
      </w:r>
    </w:p>
    <w:p w14:paraId="47FC66A1" w14:textId="1345C936" w:rsidR="005F5EC5" w:rsidRDefault="005F5EC5" w:rsidP="005F5EC5">
      <w:pPr>
        <w:pStyle w:val="ListParagraph"/>
        <w:numPr>
          <w:ilvl w:val="0"/>
          <w:numId w:val="28"/>
        </w:numPr>
        <w:shd w:val="clear" w:color="auto" w:fill="FFFFFF"/>
        <w:spacing w:after="120"/>
        <w:contextualSpacing/>
      </w:pPr>
      <w:r>
        <w:t>The application function (AF) which is either sending to or receiving from the UE data (PDU) can be connected to the UPF.</w:t>
      </w:r>
    </w:p>
    <w:p w14:paraId="38FA0794" w14:textId="7744D290" w:rsidR="005F5EC5" w:rsidRDefault="005F5EC5" w:rsidP="005F5EC5">
      <w:pPr>
        <w:pStyle w:val="ListParagraph"/>
        <w:numPr>
          <w:ilvl w:val="0"/>
          <w:numId w:val="28"/>
        </w:numPr>
        <w:shd w:val="clear" w:color="auto" w:fill="FFFFFF"/>
        <w:spacing w:after="120"/>
        <w:contextualSpacing/>
      </w:pPr>
      <w:r>
        <w:t>The PDCP security is between UE and Satellite (in this case the Satellite A).</w:t>
      </w:r>
    </w:p>
    <w:p w14:paraId="6B01917A" w14:textId="77777777" w:rsidR="005F5EC5" w:rsidRDefault="005F5EC5" w:rsidP="005F5EC5">
      <w:pPr>
        <w:pStyle w:val="ListParagraph"/>
        <w:numPr>
          <w:ilvl w:val="0"/>
          <w:numId w:val="28"/>
        </w:numPr>
        <w:shd w:val="clear" w:color="auto" w:fill="FFFFFF"/>
        <w:spacing w:after="120"/>
        <w:contextualSpacing/>
      </w:pPr>
      <w:r>
        <w:t>The device data (PDU) will be transferred over the SDAP (</w:t>
      </w:r>
      <w:proofErr w:type="spellStart"/>
      <w:r>
        <w:t>Uu</w:t>
      </w:r>
      <w:proofErr w:type="spellEnd"/>
      <w:r>
        <w:t>-interface) and will be protected by PDCP (AS security).</w:t>
      </w:r>
    </w:p>
    <w:p w14:paraId="3636F7EC" w14:textId="77777777" w:rsidR="005F5EC5" w:rsidRDefault="005F5EC5" w:rsidP="005F5EC5">
      <w:pPr>
        <w:pStyle w:val="ListParagraph"/>
        <w:numPr>
          <w:ilvl w:val="0"/>
          <w:numId w:val="28"/>
        </w:numPr>
        <w:shd w:val="clear" w:color="auto" w:fill="FFFFFF"/>
        <w:spacing w:after="120"/>
        <w:contextualSpacing/>
      </w:pPr>
      <w:r>
        <w:t>The device data (PDU) will be transferred over the GTP-u (NG-interface) and will be protected by either NDS/IPsec or DTLS.</w:t>
      </w:r>
    </w:p>
    <w:p w14:paraId="75D1E349" w14:textId="77777777" w:rsidR="005F5EC5" w:rsidRDefault="005F5EC5" w:rsidP="005F5EC5"/>
    <w:p w14:paraId="10095D76" w14:textId="77777777" w:rsidR="005F5EC5" w:rsidRDefault="005F5EC5" w:rsidP="005F5EC5"/>
    <w:p w14:paraId="525327BF" w14:textId="77777777" w:rsidR="005F5EC5" w:rsidRDefault="005F5EC5" w:rsidP="005F5EC5">
      <w:pPr>
        <w:jc w:val="center"/>
      </w:pPr>
      <w:r w:rsidRPr="00F66207">
        <w:rPr>
          <w:noProof/>
        </w:rPr>
        <w:drawing>
          <wp:inline distT="0" distB="0" distL="0" distR="0" wp14:anchorId="68EE746F" wp14:editId="1EF5A57C">
            <wp:extent cx="5501030" cy="1862756"/>
            <wp:effectExtent l="0" t="0" r="4445" b="4445"/>
            <wp:docPr id="10" name="Picture 5">
              <a:extLst xmlns:a="http://schemas.openxmlformats.org/drawingml/2006/main">
                <a:ext uri="{FF2B5EF4-FFF2-40B4-BE49-F238E27FC236}">
                  <a16:creationId xmlns:a16="http://schemas.microsoft.com/office/drawing/2014/main" id="{03202CB4-BB81-7D73-15F6-4BB12D3D9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3202CB4-BB81-7D73-15F6-4BB12D3D9C8E}"/>
                        </a:ext>
                      </a:extLst>
                    </pic:cNvPr>
                    <pic:cNvPicPr>
                      <a:picLocks noChangeAspect="1"/>
                    </pic:cNvPicPr>
                  </pic:nvPicPr>
                  <pic:blipFill>
                    <a:blip r:embed="rId18"/>
                    <a:stretch>
                      <a:fillRect/>
                    </a:stretch>
                  </pic:blipFill>
                  <pic:spPr>
                    <a:xfrm>
                      <a:off x="0" y="0"/>
                      <a:ext cx="5501030" cy="1862756"/>
                    </a:xfrm>
                    <a:prstGeom prst="rect">
                      <a:avLst/>
                    </a:prstGeom>
                  </pic:spPr>
                </pic:pic>
              </a:graphicData>
            </a:graphic>
          </wp:inline>
        </w:drawing>
      </w:r>
    </w:p>
    <w:p w14:paraId="5B28A6D9" w14:textId="77777777" w:rsidR="005F5EC5" w:rsidRDefault="005F5EC5" w:rsidP="005F5EC5">
      <w:r>
        <w:t>Figure 3-5: Control Plane Protocol Stack</w:t>
      </w:r>
    </w:p>
    <w:p w14:paraId="4195B237" w14:textId="77777777" w:rsidR="005F5EC5" w:rsidRDefault="005F5EC5" w:rsidP="005F5EC5">
      <w:r>
        <w:t>The following is applicable:</w:t>
      </w:r>
    </w:p>
    <w:p w14:paraId="26E2CA97" w14:textId="39794E2F" w:rsidR="005F5EC5" w:rsidRDefault="005F5EC5" w:rsidP="005F5EC5">
      <w:pPr>
        <w:pStyle w:val="ListParagraph"/>
        <w:numPr>
          <w:ilvl w:val="0"/>
          <w:numId w:val="29"/>
        </w:numPr>
        <w:shd w:val="clear" w:color="auto" w:fill="FFFFFF"/>
        <w:spacing w:after="120"/>
        <w:contextualSpacing/>
      </w:pPr>
      <w:r>
        <w:t xml:space="preserve">The end-to-end communication path is between UE and the </w:t>
      </w:r>
      <w:proofErr w:type="spellStart"/>
      <w:r>
        <w:t>gNB</w:t>
      </w:r>
      <w:proofErr w:type="spellEnd"/>
      <w:r>
        <w:t xml:space="preserve"> (RRC protocol), which mainly refer to AS, or is between UE and AMF (NAS protocol).</w:t>
      </w:r>
    </w:p>
    <w:p w14:paraId="6582B7D4" w14:textId="7DB942A1" w:rsidR="005F5EC5" w:rsidRDefault="005F5EC5" w:rsidP="005F5EC5">
      <w:pPr>
        <w:pStyle w:val="ListParagraph"/>
        <w:numPr>
          <w:ilvl w:val="0"/>
          <w:numId w:val="29"/>
        </w:numPr>
        <w:shd w:val="clear" w:color="auto" w:fill="FFFFFF"/>
        <w:spacing w:after="120"/>
        <w:contextualSpacing/>
      </w:pPr>
      <w:r>
        <w:t>The application function (AF) which is either sending to or receiving from the UE data (PDU) can be connected to the AMF. The device data (PDU) will be transferred end-to-end over NAS and will be protected by NAS security.</w:t>
      </w:r>
    </w:p>
    <w:p w14:paraId="62D329F6" w14:textId="77777777" w:rsidR="005F5EC5" w:rsidRDefault="005F5EC5" w:rsidP="005F5EC5"/>
    <w:p w14:paraId="59FDBC6D" w14:textId="12541061" w:rsidR="005F5EC5" w:rsidRPr="000B43AC" w:rsidRDefault="00BF13E0" w:rsidP="005F5EC5">
      <w:r>
        <w:t>It exists</w:t>
      </w:r>
      <w:r w:rsidR="00F75F05">
        <w:t xml:space="preserve"> </w:t>
      </w:r>
      <w:r w:rsidR="005F5EC5" w:rsidRPr="000B43AC">
        <w:t>“normal/default satellite operation” mode, i.e., the Feeder link and Service link is available, therefore the UE can be authenticated with Core Network and UE can setup RRC connection with Satellite. In this “normal/default” mode of operation, the NAS and AS security contexts have been established and can/will be maintained. The UE can change between the different RRC modes.</w:t>
      </w:r>
    </w:p>
    <w:p w14:paraId="76327750" w14:textId="77777777" w:rsidR="005F5EC5" w:rsidRPr="000B43AC" w:rsidRDefault="005F5EC5" w:rsidP="005F5EC5">
      <w:r w:rsidRPr="000B43AC">
        <w:t xml:space="preserve">Another mode is the “S&amp;F satellite operation” mode, i.e., either the Feeder link (Step A) or the Service link (Step B) is not active. “So, the satellite moves from being connected to the UE in Step A to being connected to the ground network in Step B” ([1]). </w:t>
      </w:r>
    </w:p>
    <w:p w14:paraId="0918307A" w14:textId="3E050E96" w:rsidR="005F5EC5" w:rsidRPr="000B43AC" w:rsidRDefault="005F5EC5" w:rsidP="005F5EC5">
      <w:r w:rsidRPr="000B43AC">
        <w:t xml:space="preserve">Anyway, this “S&amp;F satellite” mode of operation is introducing the AS and NAS mobility, i.e., the UE or Satellite is moving while AS/NAS contexts exist. </w:t>
      </w:r>
    </w:p>
    <w:p w14:paraId="000867E7" w14:textId="630D76EB" w:rsidR="005F5EC5" w:rsidRPr="000B43AC" w:rsidRDefault="005F5EC5" w:rsidP="005F5EC5">
      <w:r w:rsidRPr="000B43AC">
        <w:lastRenderedPageBreak/>
        <w:t>For these mobility scenarios, the AS mobility is referring to the UE or Satellite is moving, therefore the AS (security) context(s) need to be moved to the new target Satellite, while the NAS mobility is referring to the NAS (security) context(s) need to be moved to the new home network.</w:t>
      </w:r>
    </w:p>
    <w:p w14:paraId="5D86C981" w14:textId="77777777" w:rsidR="005F5EC5" w:rsidRPr="000B43AC" w:rsidRDefault="005F5EC5" w:rsidP="005F5EC5"/>
    <w:p w14:paraId="16ED49BC" w14:textId="77777777" w:rsidR="005F5EC5" w:rsidRPr="000B43AC" w:rsidRDefault="005F5EC5" w:rsidP="005F5EC5">
      <w:r w:rsidRPr="000B43AC">
        <w:t>The following working assumptions will be considered:</w:t>
      </w:r>
    </w:p>
    <w:p w14:paraId="283279AE" w14:textId="1697FAD4" w:rsidR="005F5EC5" w:rsidRPr="000B43AC" w:rsidRDefault="005F5EC5" w:rsidP="005F5EC5">
      <w:r w:rsidRPr="000B43AC">
        <w:t>[WA#1]: There is no terrestrial network available, i.e., the UE will be authenticated and authorized via the NTN.</w:t>
      </w:r>
    </w:p>
    <w:p w14:paraId="3372CD85" w14:textId="77777777" w:rsidR="005F5EC5" w:rsidRPr="000B43AC" w:rsidRDefault="005F5EC5" w:rsidP="005F5EC5">
      <w:r w:rsidRPr="000B43AC">
        <w:t>[WA#2]: In the “S&amp;F satellite” mode of operation, the Feeder link is available while the service link is not (Step B), or the Service link is available while the Feeder link is not (Step A).</w:t>
      </w:r>
    </w:p>
    <w:p w14:paraId="564341D4" w14:textId="45458498" w:rsidR="005F5EC5" w:rsidRPr="000B43AC" w:rsidRDefault="005F5EC5" w:rsidP="005F5EC5">
      <w:r w:rsidRPr="000B43AC">
        <w:t>[WA#3]: The legacy UE (IoT) does not know anything about NTN S&amp;F functionality or other new features. The introduction of the NTN S&amp;F is not impacting the operation of a legacy UE</w:t>
      </w:r>
      <w:r w:rsidR="00016830">
        <w:t>.</w:t>
      </w:r>
    </w:p>
    <w:p w14:paraId="6D414C09" w14:textId="77777777" w:rsidR="005F5EC5" w:rsidRPr="000B43AC" w:rsidRDefault="005F5EC5" w:rsidP="005F5EC5">
      <w:r w:rsidRPr="000B43AC">
        <w:t>[WA#4]: After successful UE registration, the NAS security context is remaining valid.</w:t>
      </w:r>
    </w:p>
    <w:p w14:paraId="7D0EF64B" w14:textId="77777777" w:rsidR="005F5EC5" w:rsidRPr="000B43AC" w:rsidRDefault="005F5EC5" w:rsidP="005F5EC5">
      <w:r w:rsidRPr="000B43AC">
        <w:t>[WA#5]: After successful RRC idle state the AS security context will retain.</w:t>
      </w:r>
    </w:p>
    <w:p w14:paraId="420B935B" w14:textId="53D51653" w:rsidR="005F5EC5" w:rsidRDefault="005F5EC5" w:rsidP="005F5EC5">
      <w:r w:rsidRPr="000B43AC">
        <w:t xml:space="preserve">[WA#6]: In the “normal/default” mode of operation, both, the Feeder </w:t>
      </w:r>
      <w:r w:rsidR="00016830" w:rsidRPr="000B43AC">
        <w:t>link,</w:t>
      </w:r>
      <w:r w:rsidRPr="000B43AC">
        <w:t xml:space="preserve"> and the Service link are available.</w:t>
      </w:r>
    </w:p>
    <w:p w14:paraId="5120EA7E" w14:textId="77777777" w:rsidR="005F5EC5" w:rsidRDefault="005F5EC5" w:rsidP="005F5EC5"/>
    <w:p w14:paraId="76D0B4D8" w14:textId="77777777" w:rsidR="005F5EC5" w:rsidRDefault="005F5EC5" w:rsidP="005F5EC5">
      <w:r>
        <w:t>In summary, the following mapping applies:</w:t>
      </w:r>
      <w:r>
        <w:tab/>
      </w:r>
      <w:r>
        <w:tab/>
      </w:r>
    </w:p>
    <w:tbl>
      <w:tblPr>
        <w:tblStyle w:val="TableGrid"/>
        <w:tblW w:w="0" w:type="auto"/>
        <w:tblLook w:val="04A0" w:firstRow="1" w:lastRow="0" w:firstColumn="1" w:lastColumn="0" w:noHBand="0" w:noVBand="1"/>
      </w:tblPr>
      <w:tblGrid>
        <w:gridCol w:w="3152"/>
        <w:gridCol w:w="3153"/>
        <w:gridCol w:w="3153"/>
      </w:tblGrid>
      <w:tr w:rsidR="005F5EC5" w14:paraId="3DED4298" w14:textId="77777777" w:rsidTr="00FF2647">
        <w:tc>
          <w:tcPr>
            <w:tcW w:w="3152" w:type="dxa"/>
            <w:shd w:val="clear" w:color="auto" w:fill="D9D9D9" w:themeFill="background1" w:themeFillShade="D9"/>
          </w:tcPr>
          <w:p w14:paraId="3FB6B0D7" w14:textId="77777777" w:rsidR="005F5EC5" w:rsidRDefault="005F5EC5" w:rsidP="00FF2647">
            <w:r>
              <w:t>Mode</w:t>
            </w:r>
          </w:p>
        </w:tc>
        <w:tc>
          <w:tcPr>
            <w:tcW w:w="3153" w:type="dxa"/>
            <w:shd w:val="clear" w:color="auto" w:fill="D9D9D9" w:themeFill="background1" w:themeFillShade="D9"/>
          </w:tcPr>
          <w:p w14:paraId="5EAAF102" w14:textId="59F1801C" w:rsidR="005F5EC5" w:rsidRDefault="005F5EC5" w:rsidP="00FF2647">
            <w:r>
              <w:t>AS context</w:t>
            </w:r>
            <w:r w:rsidR="00016830">
              <w:t>…</w:t>
            </w:r>
          </w:p>
        </w:tc>
        <w:tc>
          <w:tcPr>
            <w:tcW w:w="3153" w:type="dxa"/>
            <w:shd w:val="clear" w:color="auto" w:fill="D9D9D9" w:themeFill="background1" w:themeFillShade="D9"/>
          </w:tcPr>
          <w:p w14:paraId="5EECCFD0" w14:textId="4AB51034" w:rsidR="005F5EC5" w:rsidRDefault="005F5EC5" w:rsidP="00FF2647">
            <w:r>
              <w:t>NAS context</w:t>
            </w:r>
            <w:r w:rsidR="00016830">
              <w:t>…</w:t>
            </w:r>
          </w:p>
        </w:tc>
      </w:tr>
      <w:tr w:rsidR="005F5EC5" w14:paraId="0E8335F9" w14:textId="77777777" w:rsidTr="00FF2647">
        <w:tc>
          <w:tcPr>
            <w:tcW w:w="3152" w:type="dxa"/>
          </w:tcPr>
          <w:p w14:paraId="52208780" w14:textId="77777777" w:rsidR="005F5EC5" w:rsidRDefault="005F5EC5" w:rsidP="00FF2647">
            <w:r>
              <w:t>“normal/default”</w:t>
            </w:r>
          </w:p>
        </w:tc>
        <w:tc>
          <w:tcPr>
            <w:tcW w:w="3153" w:type="dxa"/>
          </w:tcPr>
          <w:p w14:paraId="44FB21E0" w14:textId="77777777" w:rsidR="005F5EC5" w:rsidRDefault="005F5EC5" w:rsidP="00FF2647">
            <w:r>
              <w:t>Setup</w:t>
            </w:r>
          </w:p>
        </w:tc>
        <w:tc>
          <w:tcPr>
            <w:tcW w:w="3153" w:type="dxa"/>
          </w:tcPr>
          <w:p w14:paraId="714F692F" w14:textId="77777777" w:rsidR="005F5EC5" w:rsidRDefault="005F5EC5" w:rsidP="00FF2647">
            <w:r>
              <w:t>Setup</w:t>
            </w:r>
          </w:p>
        </w:tc>
      </w:tr>
      <w:tr w:rsidR="005F5EC5" w14:paraId="114789EA" w14:textId="77777777" w:rsidTr="005F5EC5">
        <w:tc>
          <w:tcPr>
            <w:tcW w:w="3152" w:type="dxa"/>
          </w:tcPr>
          <w:p w14:paraId="5ABA5BB6" w14:textId="77777777" w:rsidR="005F5EC5" w:rsidRDefault="005F5EC5" w:rsidP="00FF2647">
            <w:r>
              <w:t>“S&amp;F satellite”</w:t>
            </w:r>
          </w:p>
        </w:tc>
        <w:tc>
          <w:tcPr>
            <w:tcW w:w="3153" w:type="dxa"/>
          </w:tcPr>
          <w:p w14:paraId="3A5D2F2F" w14:textId="7E4E947E" w:rsidR="005F5EC5" w:rsidRDefault="005F5EC5" w:rsidP="00FF2647">
            <w:r>
              <w:t xml:space="preserve">Setup @ </w:t>
            </w:r>
            <w:r w:rsidR="00016830">
              <w:t>UE</w:t>
            </w:r>
            <w:r>
              <w:t xml:space="preserve"> mobility</w:t>
            </w:r>
          </w:p>
        </w:tc>
        <w:tc>
          <w:tcPr>
            <w:tcW w:w="3153" w:type="dxa"/>
            <w:shd w:val="clear" w:color="auto" w:fill="auto"/>
          </w:tcPr>
          <w:p w14:paraId="23E7DE4A" w14:textId="1CF10456" w:rsidR="005F5EC5" w:rsidRDefault="005F5EC5" w:rsidP="00FF2647">
            <w:r>
              <w:t xml:space="preserve">Setup @ </w:t>
            </w:r>
            <w:r w:rsidR="00016830">
              <w:t>SAT</w:t>
            </w:r>
            <w:r>
              <w:t xml:space="preserve"> mobility</w:t>
            </w:r>
          </w:p>
        </w:tc>
      </w:tr>
    </w:tbl>
    <w:p w14:paraId="00827EFF" w14:textId="77777777" w:rsidR="005F5EC5" w:rsidRDefault="005F5EC5" w:rsidP="005F5EC5"/>
    <w:p w14:paraId="75E444F4" w14:textId="77777777" w:rsidR="00D73836" w:rsidRPr="003E406F" w:rsidRDefault="00D73836" w:rsidP="002A5CD6">
      <w:pPr>
        <w:tabs>
          <w:tab w:val="left" w:pos="4395"/>
          <w:tab w:val="left" w:pos="7371"/>
        </w:tabs>
        <w:spacing w:after="120"/>
        <w:rPr>
          <w:rFonts w:eastAsia="Yu Mincho"/>
          <w:bCs/>
        </w:rPr>
      </w:pPr>
    </w:p>
    <w:p w14:paraId="7992DFDF" w14:textId="77777777" w:rsidR="00450937" w:rsidRDefault="00450937" w:rsidP="002A5CD6">
      <w:pPr>
        <w:tabs>
          <w:tab w:val="left" w:pos="4395"/>
          <w:tab w:val="left" w:pos="7371"/>
        </w:tabs>
        <w:spacing w:after="120"/>
        <w:rPr>
          <w:rFonts w:ascii="Arial" w:eastAsia="Yu Mincho" w:hAnsi="Arial" w:cs="Arial"/>
          <w:bCs/>
        </w:rPr>
      </w:pPr>
      <w:r>
        <w:rPr>
          <w:rFonts w:ascii="Arial" w:eastAsia="Yu Mincho" w:hAnsi="Arial" w:cs="Arial"/>
          <w:b/>
          <w:color w:val="2E74B5"/>
          <w:lang w:val="en-US" w:eastAsia="zh-TW"/>
        </w:rPr>
        <w:t>Conclusion</w:t>
      </w:r>
      <w:r w:rsidRPr="007C58EB">
        <w:rPr>
          <w:rFonts w:ascii="Arial" w:eastAsia="Yu Mincho" w:hAnsi="Arial" w:cs="Arial"/>
          <w:b/>
          <w:color w:val="2E74B5"/>
          <w:lang w:val="en-US" w:eastAsia="zh-TW"/>
        </w:rPr>
        <w:t>:</w:t>
      </w:r>
    </w:p>
    <w:p w14:paraId="3140164A" w14:textId="315628AE" w:rsidR="00B20BD2" w:rsidRPr="00AF5EF0" w:rsidRDefault="00AF5EF0" w:rsidP="00AF5EF0">
      <w:p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        </w:t>
      </w:r>
      <w:r w:rsidRPr="00AF5EF0">
        <w:rPr>
          <w:rFonts w:ascii="Arial" w:eastAsia="Yu Mincho" w:hAnsi="Arial" w:cs="Arial"/>
          <w:b/>
          <w:color w:val="2E74B5"/>
          <w:lang w:val="en-US" w:eastAsia="zh-TW"/>
        </w:rPr>
        <w:t xml:space="preserve">The security aspects of NTN Store and Forward to be </w:t>
      </w:r>
      <w:proofErr w:type="spellStart"/>
      <w:r w:rsidRPr="00AF5EF0">
        <w:rPr>
          <w:rFonts w:ascii="Arial" w:eastAsia="Yu Mincho" w:hAnsi="Arial" w:cs="Arial"/>
          <w:b/>
          <w:color w:val="2E74B5"/>
          <w:lang w:val="en-US" w:eastAsia="zh-TW"/>
        </w:rPr>
        <w:t>analysed</w:t>
      </w:r>
      <w:proofErr w:type="spellEnd"/>
      <w:r w:rsidRPr="00AF5EF0">
        <w:rPr>
          <w:rFonts w:ascii="Arial" w:eastAsia="Yu Mincho" w:hAnsi="Arial" w:cs="Arial"/>
          <w:b/>
          <w:color w:val="2E74B5"/>
          <w:lang w:val="en-US" w:eastAsia="zh-TW"/>
        </w:rPr>
        <w:t xml:space="preserve"> in context of a study item.</w:t>
      </w:r>
    </w:p>
    <w:p w14:paraId="55FEEA77" w14:textId="77777777" w:rsidR="00B20BD2" w:rsidRDefault="00B20BD2" w:rsidP="002A5CD6">
      <w:pPr>
        <w:tabs>
          <w:tab w:val="left" w:pos="4395"/>
          <w:tab w:val="left" w:pos="7371"/>
        </w:tabs>
        <w:spacing w:after="120"/>
        <w:rPr>
          <w:rFonts w:ascii="Arial" w:eastAsia="Yu Mincho" w:hAnsi="Arial" w:cs="Arial"/>
          <w:b/>
          <w:color w:val="2E74B5"/>
          <w:lang w:val="en-US" w:eastAsia="zh-TW"/>
        </w:rPr>
      </w:pPr>
    </w:p>
    <w:p w14:paraId="550D3F89" w14:textId="77777777" w:rsidR="00B20BD2" w:rsidRDefault="00B20BD2" w:rsidP="002A5CD6">
      <w:pPr>
        <w:tabs>
          <w:tab w:val="left" w:pos="4395"/>
          <w:tab w:val="left" w:pos="7371"/>
        </w:tabs>
        <w:spacing w:after="120"/>
        <w:rPr>
          <w:rFonts w:ascii="Arial" w:eastAsia="Yu Mincho" w:hAnsi="Arial" w:cs="Arial"/>
          <w:b/>
          <w:color w:val="2E74B5"/>
          <w:lang w:val="en-US" w:eastAsia="zh-TW"/>
        </w:rPr>
      </w:pPr>
    </w:p>
    <w:p w14:paraId="01C552FB" w14:textId="1B062C1D" w:rsidR="00717B0A" w:rsidRPr="00450937" w:rsidRDefault="00560DAB" w:rsidP="002A5CD6">
      <w:p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Please refer to </w:t>
      </w:r>
      <w:r w:rsidR="00AF5EF0">
        <w:rPr>
          <w:rFonts w:ascii="Arial" w:eastAsia="Yu Mincho" w:hAnsi="Arial" w:cs="Arial"/>
          <w:b/>
          <w:color w:val="2E74B5"/>
          <w:lang w:val="en-US" w:eastAsia="zh-TW"/>
        </w:rPr>
        <w:t>new SID proposal</w:t>
      </w:r>
      <w:r>
        <w:rPr>
          <w:rFonts w:ascii="Arial" w:eastAsia="Yu Mincho" w:hAnsi="Arial" w:cs="Arial"/>
          <w:b/>
          <w:color w:val="2E74B5"/>
          <w:lang w:val="en-US" w:eastAsia="zh-TW"/>
        </w:rPr>
        <w:t xml:space="preserve"> </w:t>
      </w:r>
      <w:r w:rsidR="00105A8A" w:rsidRPr="00105A8A">
        <w:rPr>
          <w:rFonts w:ascii="Arial" w:eastAsia="Yu Mincho" w:hAnsi="Arial" w:cs="Arial"/>
          <w:b/>
          <w:color w:val="2E74B5"/>
          <w:lang w:val="en-US" w:eastAsia="zh-TW"/>
        </w:rPr>
        <w:t>S3-23</w:t>
      </w:r>
      <w:r w:rsidR="00D945D5">
        <w:rPr>
          <w:rFonts w:ascii="Arial" w:eastAsia="Yu Mincho" w:hAnsi="Arial" w:cs="Arial"/>
          <w:b/>
          <w:color w:val="2E74B5"/>
          <w:lang w:val="en-US" w:eastAsia="zh-TW"/>
        </w:rPr>
        <w:t>3552.</w:t>
      </w:r>
    </w:p>
    <w:p w14:paraId="21CB111C" w14:textId="77777777" w:rsidR="00E85ED7" w:rsidRDefault="00E85ED7" w:rsidP="002A5CD6">
      <w:pPr>
        <w:tabs>
          <w:tab w:val="left" w:pos="4395"/>
          <w:tab w:val="left" w:pos="7371"/>
        </w:tabs>
        <w:spacing w:after="120"/>
        <w:rPr>
          <w:rFonts w:ascii="Arial" w:eastAsia="Yu Mincho" w:hAnsi="Arial" w:cs="Arial"/>
          <w:bCs/>
        </w:rPr>
      </w:pPr>
    </w:p>
    <w:p w14:paraId="77B5B80F" w14:textId="77777777" w:rsidR="00704333" w:rsidRDefault="00704333" w:rsidP="002A5CD6">
      <w:pPr>
        <w:tabs>
          <w:tab w:val="left" w:pos="4395"/>
          <w:tab w:val="left" w:pos="7371"/>
        </w:tabs>
        <w:spacing w:after="120"/>
        <w:rPr>
          <w:rFonts w:ascii="Arial" w:eastAsia="Yu Mincho" w:hAnsi="Arial" w:cs="Arial"/>
          <w:bCs/>
        </w:rPr>
      </w:pPr>
    </w:p>
    <w:p w14:paraId="07C9A564" w14:textId="7709B3B5" w:rsidR="00704333" w:rsidRDefault="00704333" w:rsidP="002A5CD6">
      <w:pPr>
        <w:tabs>
          <w:tab w:val="left" w:pos="4395"/>
          <w:tab w:val="left" w:pos="7371"/>
        </w:tabs>
        <w:spacing w:after="120"/>
        <w:rPr>
          <w:rFonts w:ascii="Arial" w:eastAsia="Yu Mincho" w:hAnsi="Arial" w:cs="Arial"/>
          <w:bCs/>
        </w:rPr>
      </w:pPr>
      <w:r>
        <w:rPr>
          <w:rFonts w:ascii="Arial" w:eastAsia="Yu Mincho" w:hAnsi="Arial" w:cs="Arial"/>
          <w:bCs/>
        </w:rPr>
        <w:t>Abbreviations</w:t>
      </w:r>
    </w:p>
    <w:p w14:paraId="4D47A479" w14:textId="4225233B" w:rsidR="00AF5EF0" w:rsidRPr="00872FD6" w:rsidRDefault="00AF5EF0" w:rsidP="00AF5EF0">
      <w:pPr>
        <w:ind w:left="426"/>
        <w:rPr>
          <w:szCs w:val="22"/>
        </w:rPr>
      </w:pPr>
      <w:r w:rsidRPr="00872FD6">
        <w:rPr>
          <w:szCs w:val="22"/>
        </w:rPr>
        <w:t>3GPP</w:t>
      </w:r>
      <w:r>
        <w:rPr>
          <w:szCs w:val="22"/>
        </w:rPr>
        <w:tab/>
      </w:r>
      <w:r>
        <w:rPr>
          <w:szCs w:val="22"/>
        </w:rPr>
        <w:tab/>
      </w:r>
      <w:r w:rsidRPr="00872FD6">
        <w:rPr>
          <w:szCs w:val="22"/>
        </w:rPr>
        <w:t>3rd Generation Partnership Program</w:t>
      </w:r>
    </w:p>
    <w:p w14:paraId="507D9231" w14:textId="35C30D34" w:rsidR="00AF5EF0" w:rsidRDefault="00AF5EF0" w:rsidP="00AF5EF0">
      <w:pPr>
        <w:ind w:left="426"/>
        <w:rPr>
          <w:szCs w:val="22"/>
        </w:rPr>
      </w:pPr>
      <w:r w:rsidRPr="00872FD6">
        <w:rPr>
          <w:szCs w:val="22"/>
        </w:rPr>
        <w:t>AMF</w:t>
      </w:r>
      <w:r>
        <w:rPr>
          <w:szCs w:val="22"/>
        </w:rPr>
        <w:tab/>
      </w:r>
      <w:r>
        <w:rPr>
          <w:szCs w:val="22"/>
        </w:rPr>
        <w:tab/>
      </w:r>
      <w:r w:rsidRPr="00872FD6">
        <w:rPr>
          <w:szCs w:val="22"/>
        </w:rPr>
        <w:t>Access and Mobility Management Function</w:t>
      </w:r>
    </w:p>
    <w:p w14:paraId="7C5E52A4" w14:textId="03BAFD2B" w:rsidR="00AF5EF0" w:rsidRDefault="00AF5EF0" w:rsidP="00AF5EF0">
      <w:pPr>
        <w:ind w:left="426"/>
        <w:rPr>
          <w:szCs w:val="22"/>
        </w:rPr>
      </w:pPr>
      <w:r>
        <w:rPr>
          <w:szCs w:val="22"/>
        </w:rPr>
        <w:t>AS</w:t>
      </w:r>
      <w:r>
        <w:rPr>
          <w:szCs w:val="22"/>
        </w:rPr>
        <w:tab/>
      </w:r>
      <w:r>
        <w:rPr>
          <w:szCs w:val="22"/>
        </w:rPr>
        <w:tab/>
      </w:r>
      <w:r>
        <w:rPr>
          <w:szCs w:val="22"/>
        </w:rPr>
        <w:tab/>
        <w:t>Access Stratum</w:t>
      </w:r>
    </w:p>
    <w:p w14:paraId="49954C8C" w14:textId="354524CF" w:rsidR="00AF5EF0" w:rsidRDefault="00AF5EF0" w:rsidP="00AF5EF0">
      <w:pPr>
        <w:ind w:left="426"/>
        <w:rPr>
          <w:szCs w:val="22"/>
        </w:rPr>
      </w:pPr>
      <w:r>
        <w:rPr>
          <w:szCs w:val="22"/>
        </w:rPr>
        <w:t>CN</w:t>
      </w:r>
      <w:r>
        <w:rPr>
          <w:szCs w:val="22"/>
        </w:rPr>
        <w:tab/>
      </w:r>
      <w:r>
        <w:rPr>
          <w:szCs w:val="22"/>
        </w:rPr>
        <w:tab/>
      </w:r>
      <w:r>
        <w:rPr>
          <w:szCs w:val="22"/>
        </w:rPr>
        <w:tab/>
        <w:t>Core Network</w:t>
      </w:r>
    </w:p>
    <w:p w14:paraId="7FA67125" w14:textId="73C953F6" w:rsidR="00AF5EF0" w:rsidRDefault="00AF5EF0" w:rsidP="00AF5EF0">
      <w:pPr>
        <w:ind w:left="426"/>
        <w:rPr>
          <w:szCs w:val="22"/>
        </w:rPr>
      </w:pPr>
      <w:r>
        <w:rPr>
          <w:szCs w:val="22"/>
        </w:rPr>
        <w:t>GW</w:t>
      </w:r>
      <w:r>
        <w:rPr>
          <w:szCs w:val="22"/>
        </w:rPr>
        <w:tab/>
      </w:r>
      <w:r>
        <w:rPr>
          <w:szCs w:val="22"/>
        </w:rPr>
        <w:tab/>
      </w:r>
      <w:r>
        <w:rPr>
          <w:szCs w:val="22"/>
        </w:rPr>
        <w:tab/>
        <w:t>Gateway</w:t>
      </w:r>
    </w:p>
    <w:p w14:paraId="2F4F93ED" w14:textId="0922B599" w:rsidR="00AF5EF0" w:rsidRDefault="00AF5EF0" w:rsidP="00AF5EF0">
      <w:pPr>
        <w:ind w:left="426"/>
        <w:rPr>
          <w:szCs w:val="22"/>
        </w:rPr>
      </w:pPr>
      <w:r>
        <w:rPr>
          <w:szCs w:val="22"/>
        </w:rPr>
        <w:t>ID</w:t>
      </w:r>
      <w:r>
        <w:rPr>
          <w:szCs w:val="22"/>
        </w:rPr>
        <w:tab/>
      </w:r>
      <w:r>
        <w:rPr>
          <w:szCs w:val="22"/>
        </w:rPr>
        <w:tab/>
      </w:r>
      <w:r>
        <w:rPr>
          <w:szCs w:val="22"/>
        </w:rPr>
        <w:tab/>
        <w:t>Identifier</w:t>
      </w:r>
    </w:p>
    <w:p w14:paraId="1AEAABC3" w14:textId="40EA37FB" w:rsidR="00AF5EF0" w:rsidRDefault="00AF5EF0" w:rsidP="00AF5EF0">
      <w:pPr>
        <w:ind w:left="426"/>
        <w:rPr>
          <w:szCs w:val="22"/>
        </w:rPr>
      </w:pPr>
      <w:r>
        <w:rPr>
          <w:szCs w:val="22"/>
        </w:rPr>
        <w:t>IoT</w:t>
      </w:r>
      <w:r>
        <w:rPr>
          <w:szCs w:val="22"/>
        </w:rPr>
        <w:tab/>
        <w:t xml:space="preserve">       </w:t>
      </w:r>
      <w:r>
        <w:rPr>
          <w:szCs w:val="22"/>
        </w:rPr>
        <w:tab/>
        <w:t>Internet of Things</w:t>
      </w:r>
    </w:p>
    <w:p w14:paraId="37CC2850" w14:textId="3D2DDD27" w:rsidR="00AF5EF0" w:rsidRDefault="00AF5EF0" w:rsidP="00AF5EF0">
      <w:pPr>
        <w:ind w:left="426"/>
        <w:rPr>
          <w:szCs w:val="22"/>
        </w:rPr>
      </w:pPr>
      <w:r>
        <w:rPr>
          <w:szCs w:val="22"/>
        </w:rPr>
        <w:t xml:space="preserve">ISL          </w:t>
      </w:r>
      <w:r>
        <w:rPr>
          <w:szCs w:val="22"/>
        </w:rPr>
        <w:tab/>
        <w:t>Inter Satellite Link</w:t>
      </w:r>
    </w:p>
    <w:p w14:paraId="2E33620D" w14:textId="697C6B80" w:rsidR="00AF5EF0" w:rsidRDefault="00AF5EF0" w:rsidP="00AF5EF0">
      <w:pPr>
        <w:ind w:left="426"/>
        <w:rPr>
          <w:szCs w:val="22"/>
        </w:rPr>
      </w:pPr>
      <w:r>
        <w:rPr>
          <w:szCs w:val="22"/>
        </w:rPr>
        <w:t>MO</w:t>
      </w:r>
      <w:r>
        <w:rPr>
          <w:szCs w:val="22"/>
        </w:rPr>
        <w:tab/>
        <w:t xml:space="preserve">          </w:t>
      </w:r>
      <w:r>
        <w:rPr>
          <w:szCs w:val="22"/>
        </w:rPr>
        <w:tab/>
        <w:t>Mobile Oriented</w:t>
      </w:r>
    </w:p>
    <w:p w14:paraId="04455029" w14:textId="17C41916" w:rsidR="00AF5EF0" w:rsidRDefault="00AF5EF0" w:rsidP="00AF5EF0">
      <w:pPr>
        <w:ind w:left="426"/>
        <w:rPr>
          <w:szCs w:val="22"/>
        </w:rPr>
      </w:pPr>
      <w:r>
        <w:rPr>
          <w:szCs w:val="22"/>
        </w:rPr>
        <w:t>MT</w:t>
      </w:r>
      <w:r>
        <w:rPr>
          <w:szCs w:val="22"/>
        </w:rPr>
        <w:tab/>
        <w:t xml:space="preserve">          </w:t>
      </w:r>
      <w:r>
        <w:rPr>
          <w:szCs w:val="22"/>
        </w:rPr>
        <w:tab/>
        <w:t>Mobile Terminated</w:t>
      </w:r>
    </w:p>
    <w:p w14:paraId="7220FAA6" w14:textId="05B02281" w:rsidR="00AF5EF0" w:rsidRDefault="00AF5EF0" w:rsidP="00AF5EF0">
      <w:pPr>
        <w:ind w:left="426"/>
        <w:rPr>
          <w:szCs w:val="22"/>
        </w:rPr>
      </w:pPr>
      <w:r>
        <w:rPr>
          <w:szCs w:val="22"/>
        </w:rPr>
        <w:t xml:space="preserve">NAS </w:t>
      </w:r>
      <w:r>
        <w:rPr>
          <w:szCs w:val="22"/>
        </w:rPr>
        <w:tab/>
        <w:t xml:space="preserve">    </w:t>
      </w:r>
      <w:r>
        <w:rPr>
          <w:szCs w:val="22"/>
        </w:rPr>
        <w:tab/>
        <w:t>Non-Access Stratum</w:t>
      </w:r>
    </w:p>
    <w:p w14:paraId="12370FF0" w14:textId="20DBE11A" w:rsidR="00AF5EF0" w:rsidRDefault="00AF5EF0" w:rsidP="00AF5EF0">
      <w:pPr>
        <w:ind w:left="426"/>
        <w:rPr>
          <w:szCs w:val="22"/>
        </w:rPr>
      </w:pPr>
      <w:r>
        <w:rPr>
          <w:szCs w:val="22"/>
        </w:rPr>
        <w:t>PDU</w:t>
      </w:r>
      <w:r>
        <w:rPr>
          <w:szCs w:val="22"/>
        </w:rPr>
        <w:tab/>
        <w:t xml:space="preserve">          </w:t>
      </w:r>
      <w:r>
        <w:rPr>
          <w:szCs w:val="22"/>
        </w:rPr>
        <w:tab/>
        <w:t>Processing Data Unit</w:t>
      </w:r>
    </w:p>
    <w:p w14:paraId="656B2EBF" w14:textId="444724BF" w:rsidR="00AF5EF0" w:rsidRDefault="00AF5EF0" w:rsidP="00AF5EF0">
      <w:pPr>
        <w:ind w:left="426"/>
        <w:rPr>
          <w:szCs w:val="22"/>
        </w:rPr>
      </w:pPr>
      <w:r>
        <w:rPr>
          <w:szCs w:val="22"/>
        </w:rPr>
        <w:lastRenderedPageBreak/>
        <w:t xml:space="preserve">RAN      </w:t>
      </w:r>
      <w:r>
        <w:rPr>
          <w:szCs w:val="22"/>
        </w:rPr>
        <w:tab/>
        <w:t>Radio Access Network</w:t>
      </w:r>
    </w:p>
    <w:p w14:paraId="3661A86C" w14:textId="3E0EF15E" w:rsidR="00AF5EF0" w:rsidRDefault="00AF5EF0" w:rsidP="00AF5EF0">
      <w:pPr>
        <w:ind w:left="426"/>
        <w:rPr>
          <w:szCs w:val="22"/>
        </w:rPr>
      </w:pPr>
      <w:r>
        <w:rPr>
          <w:szCs w:val="22"/>
        </w:rPr>
        <w:t>RRC</w:t>
      </w:r>
      <w:r>
        <w:rPr>
          <w:szCs w:val="22"/>
        </w:rPr>
        <w:tab/>
      </w:r>
      <w:r>
        <w:rPr>
          <w:szCs w:val="22"/>
        </w:rPr>
        <w:tab/>
      </w:r>
      <w:r>
        <w:rPr>
          <w:szCs w:val="22"/>
        </w:rPr>
        <w:tab/>
        <w:t>Radio Resource Control</w:t>
      </w:r>
    </w:p>
    <w:p w14:paraId="5B870E26" w14:textId="63F5631F" w:rsidR="00AF5EF0" w:rsidRDefault="00AF5EF0" w:rsidP="00AF5EF0">
      <w:pPr>
        <w:ind w:left="426"/>
        <w:rPr>
          <w:szCs w:val="22"/>
        </w:rPr>
      </w:pPr>
      <w:r>
        <w:rPr>
          <w:szCs w:val="22"/>
        </w:rPr>
        <w:t>SAT</w:t>
      </w:r>
      <w:r>
        <w:rPr>
          <w:szCs w:val="22"/>
        </w:rPr>
        <w:tab/>
      </w:r>
      <w:r>
        <w:rPr>
          <w:szCs w:val="22"/>
        </w:rPr>
        <w:tab/>
      </w:r>
      <w:r>
        <w:rPr>
          <w:szCs w:val="22"/>
        </w:rPr>
        <w:tab/>
        <w:t>Satellite</w:t>
      </w:r>
    </w:p>
    <w:p w14:paraId="39EEDA0E" w14:textId="367EE902" w:rsidR="00AF5EF0" w:rsidRDefault="00AF5EF0" w:rsidP="00AF5EF0">
      <w:pPr>
        <w:ind w:left="426"/>
        <w:rPr>
          <w:szCs w:val="22"/>
        </w:rPr>
      </w:pPr>
      <w:r>
        <w:rPr>
          <w:szCs w:val="22"/>
        </w:rPr>
        <w:t>S&amp;F</w:t>
      </w:r>
      <w:r>
        <w:rPr>
          <w:szCs w:val="22"/>
        </w:rPr>
        <w:tab/>
      </w:r>
      <w:r>
        <w:rPr>
          <w:szCs w:val="22"/>
        </w:rPr>
        <w:tab/>
      </w:r>
      <w:r>
        <w:rPr>
          <w:szCs w:val="22"/>
        </w:rPr>
        <w:tab/>
        <w:t>Store and Forward</w:t>
      </w:r>
    </w:p>
    <w:p w14:paraId="1B303111" w14:textId="77777777" w:rsidR="00AF5EF0" w:rsidRPr="00872FD6" w:rsidRDefault="00AF5EF0" w:rsidP="00AF5EF0">
      <w:pPr>
        <w:ind w:left="426"/>
        <w:rPr>
          <w:szCs w:val="22"/>
        </w:rPr>
      </w:pPr>
      <w:r w:rsidRPr="00872FD6">
        <w:rPr>
          <w:szCs w:val="22"/>
        </w:rPr>
        <w:t xml:space="preserve">UE          </w:t>
      </w:r>
      <w:r>
        <w:rPr>
          <w:szCs w:val="22"/>
        </w:rPr>
        <w:tab/>
      </w:r>
      <w:r w:rsidRPr="00872FD6">
        <w:rPr>
          <w:szCs w:val="22"/>
        </w:rPr>
        <w:t>User Equipment</w:t>
      </w:r>
    </w:p>
    <w:p w14:paraId="2754F0A4" w14:textId="77777777" w:rsidR="00704333" w:rsidRDefault="00704333" w:rsidP="002A5CD6">
      <w:pPr>
        <w:tabs>
          <w:tab w:val="left" w:pos="4395"/>
          <w:tab w:val="left" w:pos="7371"/>
        </w:tabs>
        <w:spacing w:after="120"/>
        <w:rPr>
          <w:rFonts w:ascii="Arial" w:eastAsia="Yu Mincho" w:hAnsi="Arial" w:cs="Arial"/>
          <w:bCs/>
        </w:rPr>
      </w:pPr>
    </w:p>
    <w:p w14:paraId="3DA7CD1A" w14:textId="77777777" w:rsidR="00704333" w:rsidRDefault="00704333" w:rsidP="002A5CD6">
      <w:pPr>
        <w:tabs>
          <w:tab w:val="left" w:pos="4395"/>
          <w:tab w:val="left" w:pos="7371"/>
        </w:tabs>
        <w:spacing w:after="120"/>
        <w:rPr>
          <w:rFonts w:ascii="Arial" w:eastAsia="Yu Mincho" w:hAnsi="Arial" w:cs="Arial"/>
          <w:bCs/>
        </w:rPr>
      </w:pPr>
    </w:p>
    <w:p w14:paraId="065C2A8E" w14:textId="77777777" w:rsidR="00B06F4F" w:rsidRDefault="00B772CA" w:rsidP="002A5CD6">
      <w:pPr>
        <w:tabs>
          <w:tab w:val="left" w:pos="4395"/>
          <w:tab w:val="left" w:pos="7371"/>
        </w:tabs>
        <w:spacing w:after="120"/>
        <w:rPr>
          <w:rFonts w:ascii="Arial" w:eastAsia="Yu Mincho" w:hAnsi="Arial" w:cs="Arial"/>
          <w:bCs/>
        </w:rPr>
      </w:pPr>
      <w:r>
        <w:rPr>
          <w:rFonts w:ascii="Arial" w:eastAsia="Yu Mincho" w:hAnsi="Arial" w:cs="Arial"/>
          <w:bCs/>
        </w:rPr>
        <w:t>References:</w:t>
      </w:r>
    </w:p>
    <w:p w14:paraId="18D932B9" w14:textId="77777777" w:rsidR="00B772CA" w:rsidRDefault="00B772CA" w:rsidP="002A5CD6">
      <w:pPr>
        <w:tabs>
          <w:tab w:val="left" w:pos="4395"/>
          <w:tab w:val="left" w:pos="7371"/>
        </w:tabs>
        <w:spacing w:after="120"/>
        <w:rPr>
          <w:rFonts w:ascii="Arial" w:eastAsia="Yu Mincho" w:hAnsi="Arial" w:cs="Arial"/>
          <w:bCs/>
        </w:rPr>
      </w:pPr>
    </w:p>
    <w:p w14:paraId="201E786E" w14:textId="77777777" w:rsidR="005F5EC5" w:rsidRDefault="005F5EC5" w:rsidP="005F5EC5">
      <w:r>
        <w:t>[1]</w:t>
      </w:r>
      <w:r>
        <w:tab/>
        <w:t>3GPP TR 22.865, Study on Satellite Access – Phase 3, Release 19</w:t>
      </w:r>
    </w:p>
    <w:p w14:paraId="4BFEEA0E" w14:textId="77777777" w:rsidR="005F5EC5" w:rsidRDefault="005F5EC5" w:rsidP="005F5EC5">
      <w:r>
        <w:t>[2]</w:t>
      </w:r>
      <w:r>
        <w:tab/>
        <w:t>3GPP TR 38.821, Solutions for NR to support non-terrestrial networks (NTN), Release 16</w:t>
      </w:r>
    </w:p>
    <w:p w14:paraId="688C7FD6" w14:textId="2F6FF409" w:rsidR="00C022E3" w:rsidRPr="005C28D4" w:rsidRDefault="00C022E3" w:rsidP="003C4651">
      <w:pPr>
        <w:tabs>
          <w:tab w:val="left" w:pos="4395"/>
          <w:tab w:val="left" w:pos="7371"/>
        </w:tabs>
        <w:spacing w:after="120"/>
        <w:rPr>
          <w:rFonts w:ascii="Arial" w:eastAsia="Yu Mincho" w:hAnsi="Arial" w:cs="Arial"/>
          <w:bCs/>
        </w:rPr>
      </w:pPr>
    </w:p>
    <w:p w14:paraId="74F1BCF5" w14:textId="15C8D351" w:rsidR="005C28D4" w:rsidRDefault="005C28D4" w:rsidP="003C4651">
      <w:pPr>
        <w:tabs>
          <w:tab w:val="left" w:pos="4395"/>
          <w:tab w:val="left" w:pos="7371"/>
        </w:tabs>
        <w:spacing w:after="120"/>
        <w:rPr>
          <w:rFonts w:ascii="Arial" w:eastAsia="Yu Mincho" w:hAnsi="Arial" w:cs="Arial"/>
          <w:bCs/>
        </w:rPr>
      </w:pPr>
    </w:p>
    <w:p w14:paraId="3C94EA11" w14:textId="77777777" w:rsidR="00704333" w:rsidRDefault="00704333" w:rsidP="003C4651">
      <w:pPr>
        <w:tabs>
          <w:tab w:val="left" w:pos="4395"/>
          <w:tab w:val="left" w:pos="7371"/>
        </w:tabs>
        <w:spacing w:after="120"/>
        <w:rPr>
          <w:rFonts w:ascii="Arial" w:eastAsia="Yu Mincho" w:hAnsi="Arial" w:cs="Arial"/>
          <w:bCs/>
        </w:rPr>
      </w:pPr>
    </w:p>
    <w:p w14:paraId="4D6C362C" w14:textId="77777777" w:rsidR="00704333" w:rsidRPr="005C28D4" w:rsidRDefault="00704333" w:rsidP="003C4651">
      <w:pPr>
        <w:tabs>
          <w:tab w:val="left" w:pos="4395"/>
          <w:tab w:val="left" w:pos="7371"/>
        </w:tabs>
        <w:spacing w:after="120"/>
        <w:rPr>
          <w:rFonts w:ascii="Arial" w:eastAsia="Yu Mincho" w:hAnsi="Arial" w:cs="Arial"/>
          <w:bCs/>
        </w:rPr>
      </w:pPr>
    </w:p>
    <w:p w14:paraId="676BC217" w14:textId="2C01D854" w:rsidR="005C28D4" w:rsidRPr="005C28D4" w:rsidRDefault="005C28D4" w:rsidP="003C4651">
      <w:pPr>
        <w:tabs>
          <w:tab w:val="left" w:pos="4395"/>
          <w:tab w:val="left" w:pos="7371"/>
        </w:tabs>
        <w:spacing w:after="120"/>
        <w:rPr>
          <w:rFonts w:ascii="Arial" w:eastAsia="Yu Mincho" w:hAnsi="Arial" w:cs="Arial"/>
          <w:bCs/>
        </w:rPr>
      </w:pPr>
    </w:p>
    <w:p w14:paraId="5DD4DE8A" w14:textId="77777777" w:rsidR="005C28D4" w:rsidRPr="005C28D4" w:rsidRDefault="005C28D4" w:rsidP="003C4651">
      <w:pPr>
        <w:tabs>
          <w:tab w:val="left" w:pos="4395"/>
          <w:tab w:val="left" w:pos="7371"/>
        </w:tabs>
        <w:spacing w:after="120"/>
        <w:rPr>
          <w:rFonts w:ascii="Arial" w:eastAsia="Yu Mincho" w:hAnsi="Arial" w:cs="Arial"/>
          <w:bCs/>
        </w:rPr>
      </w:pPr>
    </w:p>
    <w:sectPr w:rsidR="005C28D4" w:rsidRPr="005C28D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095C" w14:textId="77777777" w:rsidR="007D2862" w:rsidRDefault="007D2862">
      <w:r>
        <w:separator/>
      </w:r>
    </w:p>
  </w:endnote>
  <w:endnote w:type="continuationSeparator" w:id="0">
    <w:p w14:paraId="54605E01" w14:textId="77777777" w:rsidR="007D2862" w:rsidRDefault="007D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8D34" w14:textId="77777777" w:rsidR="00BC29CC" w:rsidRDefault="00BC2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5CBA" w14:textId="5B1AA5EF" w:rsidR="00BC29CC" w:rsidRDefault="00BC29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6665" w14:textId="77777777" w:rsidR="00BC29CC" w:rsidRDefault="00BC2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27E0" w14:textId="77777777" w:rsidR="007D2862" w:rsidRDefault="007D2862">
      <w:r>
        <w:separator/>
      </w:r>
    </w:p>
  </w:footnote>
  <w:footnote w:type="continuationSeparator" w:id="0">
    <w:p w14:paraId="0D04BB5E" w14:textId="77777777" w:rsidR="007D2862" w:rsidRDefault="007D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AC49" w14:textId="77777777" w:rsidR="00BC29CC" w:rsidRDefault="00BC2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8D226" w14:textId="77777777" w:rsidR="00BC29CC" w:rsidRDefault="00BC2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0E55" w14:textId="77777777" w:rsidR="00BC29CC" w:rsidRDefault="00BC2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F25D4"/>
    <w:multiLevelType w:val="hybridMultilevel"/>
    <w:tmpl w:val="EC6C7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BB7702"/>
    <w:multiLevelType w:val="hybridMultilevel"/>
    <w:tmpl w:val="B9B26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0102D6"/>
    <w:multiLevelType w:val="hybridMultilevel"/>
    <w:tmpl w:val="D89EE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49C722B0"/>
    <w:multiLevelType w:val="hybridMultilevel"/>
    <w:tmpl w:val="F7C60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793432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4533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0821715">
    <w:abstractNumId w:val="15"/>
  </w:num>
  <w:num w:numId="4" w16cid:durableId="1176654616">
    <w:abstractNumId w:val="20"/>
  </w:num>
  <w:num w:numId="5" w16cid:durableId="61029170">
    <w:abstractNumId w:val="18"/>
  </w:num>
  <w:num w:numId="6" w16cid:durableId="171654524">
    <w:abstractNumId w:val="12"/>
  </w:num>
  <w:num w:numId="7" w16cid:durableId="227692447">
    <w:abstractNumId w:val="13"/>
  </w:num>
  <w:num w:numId="8" w16cid:durableId="2001032774">
    <w:abstractNumId w:val="27"/>
  </w:num>
  <w:num w:numId="9" w16cid:durableId="1133594714">
    <w:abstractNumId w:val="24"/>
  </w:num>
  <w:num w:numId="10" w16cid:durableId="1008413246">
    <w:abstractNumId w:val="26"/>
  </w:num>
  <w:num w:numId="11" w16cid:durableId="1922566156">
    <w:abstractNumId w:val="16"/>
  </w:num>
  <w:num w:numId="12" w16cid:durableId="201674287">
    <w:abstractNumId w:val="23"/>
  </w:num>
  <w:num w:numId="13" w16cid:durableId="701251660">
    <w:abstractNumId w:val="9"/>
  </w:num>
  <w:num w:numId="14" w16cid:durableId="437798006">
    <w:abstractNumId w:val="7"/>
  </w:num>
  <w:num w:numId="15" w16cid:durableId="606471667">
    <w:abstractNumId w:val="6"/>
  </w:num>
  <w:num w:numId="16" w16cid:durableId="1749620861">
    <w:abstractNumId w:val="5"/>
  </w:num>
  <w:num w:numId="17" w16cid:durableId="1721123452">
    <w:abstractNumId w:val="4"/>
  </w:num>
  <w:num w:numId="18" w16cid:durableId="1740328503">
    <w:abstractNumId w:val="8"/>
  </w:num>
  <w:num w:numId="19" w16cid:durableId="1630475992">
    <w:abstractNumId w:val="3"/>
  </w:num>
  <w:num w:numId="20" w16cid:durableId="2068840649">
    <w:abstractNumId w:val="2"/>
  </w:num>
  <w:num w:numId="21" w16cid:durableId="433288826">
    <w:abstractNumId w:val="1"/>
  </w:num>
  <w:num w:numId="22" w16cid:durableId="782190334">
    <w:abstractNumId w:val="0"/>
  </w:num>
  <w:num w:numId="23" w16cid:durableId="344291447">
    <w:abstractNumId w:val="25"/>
  </w:num>
  <w:num w:numId="24" w16cid:durableId="1209146481">
    <w:abstractNumId w:val="19"/>
  </w:num>
  <w:num w:numId="25" w16cid:durableId="565720569">
    <w:abstractNumId w:val="14"/>
  </w:num>
  <w:num w:numId="26" w16cid:durableId="364909364">
    <w:abstractNumId w:val="11"/>
  </w:num>
  <w:num w:numId="27" w16cid:durableId="378239765">
    <w:abstractNumId w:val="21"/>
  </w:num>
  <w:num w:numId="28" w16cid:durableId="284045543">
    <w:abstractNumId w:val="17"/>
  </w:num>
  <w:num w:numId="29" w16cid:durableId="5749743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830"/>
    <w:rsid w:val="00016E4F"/>
    <w:rsid w:val="000179D3"/>
    <w:rsid w:val="00030109"/>
    <w:rsid w:val="0003620F"/>
    <w:rsid w:val="00046389"/>
    <w:rsid w:val="00074722"/>
    <w:rsid w:val="000819D8"/>
    <w:rsid w:val="00083C23"/>
    <w:rsid w:val="000934A6"/>
    <w:rsid w:val="000958E3"/>
    <w:rsid w:val="00096676"/>
    <w:rsid w:val="000A2C6C"/>
    <w:rsid w:val="000A4660"/>
    <w:rsid w:val="000B79C3"/>
    <w:rsid w:val="000C6560"/>
    <w:rsid w:val="000D1B5B"/>
    <w:rsid w:val="0010401F"/>
    <w:rsid w:val="00105624"/>
    <w:rsid w:val="00105A8A"/>
    <w:rsid w:val="00112FC3"/>
    <w:rsid w:val="0012264A"/>
    <w:rsid w:val="00127578"/>
    <w:rsid w:val="00132B22"/>
    <w:rsid w:val="00135723"/>
    <w:rsid w:val="00160289"/>
    <w:rsid w:val="00173FA3"/>
    <w:rsid w:val="00183915"/>
    <w:rsid w:val="001842C7"/>
    <w:rsid w:val="00184B6F"/>
    <w:rsid w:val="001861E5"/>
    <w:rsid w:val="00190157"/>
    <w:rsid w:val="0019314A"/>
    <w:rsid w:val="001A6BD4"/>
    <w:rsid w:val="001A7EBC"/>
    <w:rsid w:val="001B1652"/>
    <w:rsid w:val="001C3EC8"/>
    <w:rsid w:val="001C572D"/>
    <w:rsid w:val="001D2BD4"/>
    <w:rsid w:val="001D6911"/>
    <w:rsid w:val="001E4FF9"/>
    <w:rsid w:val="001F5288"/>
    <w:rsid w:val="00201947"/>
    <w:rsid w:val="0020395B"/>
    <w:rsid w:val="002046CB"/>
    <w:rsid w:val="00204DC9"/>
    <w:rsid w:val="002062C0"/>
    <w:rsid w:val="00215130"/>
    <w:rsid w:val="00230002"/>
    <w:rsid w:val="00244AD6"/>
    <w:rsid w:val="00244C9A"/>
    <w:rsid w:val="00247216"/>
    <w:rsid w:val="0029522D"/>
    <w:rsid w:val="002A1857"/>
    <w:rsid w:val="002A5CD6"/>
    <w:rsid w:val="002C7F38"/>
    <w:rsid w:val="002E3BC6"/>
    <w:rsid w:val="0030628A"/>
    <w:rsid w:val="00310BF1"/>
    <w:rsid w:val="0035122B"/>
    <w:rsid w:val="00353451"/>
    <w:rsid w:val="003666B6"/>
    <w:rsid w:val="00371032"/>
    <w:rsid w:val="00371B44"/>
    <w:rsid w:val="003817EB"/>
    <w:rsid w:val="003875BB"/>
    <w:rsid w:val="003B7A02"/>
    <w:rsid w:val="003C122B"/>
    <w:rsid w:val="003C4651"/>
    <w:rsid w:val="003C5A97"/>
    <w:rsid w:val="003C7A04"/>
    <w:rsid w:val="003D40C7"/>
    <w:rsid w:val="003D5256"/>
    <w:rsid w:val="003E3338"/>
    <w:rsid w:val="003E406F"/>
    <w:rsid w:val="003E630F"/>
    <w:rsid w:val="003F52B2"/>
    <w:rsid w:val="00401D86"/>
    <w:rsid w:val="00402E27"/>
    <w:rsid w:val="0040429F"/>
    <w:rsid w:val="0042071D"/>
    <w:rsid w:val="00440414"/>
    <w:rsid w:val="0044074B"/>
    <w:rsid w:val="00450937"/>
    <w:rsid w:val="004510B3"/>
    <w:rsid w:val="004558E9"/>
    <w:rsid w:val="00456BDB"/>
    <w:rsid w:val="0045777E"/>
    <w:rsid w:val="00493FD6"/>
    <w:rsid w:val="004959AC"/>
    <w:rsid w:val="004A614F"/>
    <w:rsid w:val="004B14B0"/>
    <w:rsid w:val="004B3753"/>
    <w:rsid w:val="004B5827"/>
    <w:rsid w:val="004C0C17"/>
    <w:rsid w:val="004C31D2"/>
    <w:rsid w:val="004D55C2"/>
    <w:rsid w:val="004E4711"/>
    <w:rsid w:val="004F3275"/>
    <w:rsid w:val="00507DA7"/>
    <w:rsid w:val="00521131"/>
    <w:rsid w:val="00524F63"/>
    <w:rsid w:val="00527C0B"/>
    <w:rsid w:val="005410F6"/>
    <w:rsid w:val="005452E8"/>
    <w:rsid w:val="00560DAB"/>
    <w:rsid w:val="005729C4"/>
    <w:rsid w:val="00575466"/>
    <w:rsid w:val="0059227B"/>
    <w:rsid w:val="005944C1"/>
    <w:rsid w:val="005B0966"/>
    <w:rsid w:val="005B795D"/>
    <w:rsid w:val="005C28D4"/>
    <w:rsid w:val="005E124B"/>
    <w:rsid w:val="005E238A"/>
    <w:rsid w:val="005E4CF5"/>
    <w:rsid w:val="005E6557"/>
    <w:rsid w:val="005F5EC5"/>
    <w:rsid w:val="0060514A"/>
    <w:rsid w:val="00613820"/>
    <w:rsid w:val="00617533"/>
    <w:rsid w:val="0062307E"/>
    <w:rsid w:val="0062555E"/>
    <w:rsid w:val="006446B6"/>
    <w:rsid w:val="00652248"/>
    <w:rsid w:val="00657A26"/>
    <w:rsid w:val="00657B80"/>
    <w:rsid w:val="00660229"/>
    <w:rsid w:val="00671F6D"/>
    <w:rsid w:val="00675B3C"/>
    <w:rsid w:val="0069495C"/>
    <w:rsid w:val="0069790A"/>
    <w:rsid w:val="006C735A"/>
    <w:rsid w:val="006D340A"/>
    <w:rsid w:val="006E3F80"/>
    <w:rsid w:val="006F1D0F"/>
    <w:rsid w:val="00704333"/>
    <w:rsid w:val="007159FB"/>
    <w:rsid w:val="00715A1D"/>
    <w:rsid w:val="00717B0A"/>
    <w:rsid w:val="00743671"/>
    <w:rsid w:val="00760BB0"/>
    <w:rsid w:val="0076157A"/>
    <w:rsid w:val="00766EDD"/>
    <w:rsid w:val="007724F7"/>
    <w:rsid w:val="00784593"/>
    <w:rsid w:val="007A00EF"/>
    <w:rsid w:val="007B19EA"/>
    <w:rsid w:val="007B6F6A"/>
    <w:rsid w:val="007C0A2D"/>
    <w:rsid w:val="007C27B0"/>
    <w:rsid w:val="007C58EB"/>
    <w:rsid w:val="007D1664"/>
    <w:rsid w:val="007D2862"/>
    <w:rsid w:val="007D3EED"/>
    <w:rsid w:val="007D4BBD"/>
    <w:rsid w:val="007D4C72"/>
    <w:rsid w:val="007E537E"/>
    <w:rsid w:val="007F300B"/>
    <w:rsid w:val="008014C3"/>
    <w:rsid w:val="0082159F"/>
    <w:rsid w:val="00821D1F"/>
    <w:rsid w:val="00850812"/>
    <w:rsid w:val="008646FA"/>
    <w:rsid w:val="008716AE"/>
    <w:rsid w:val="00871EF9"/>
    <w:rsid w:val="00872560"/>
    <w:rsid w:val="00876B9A"/>
    <w:rsid w:val="0088142F"/>
    <w:rsid w:val="008841F2"/>
    <w:rsid w:val="008933BF"/>
    <w:rsid w:val="008A10C4"/>
    <w:rsid w:val="008B0248"/>
    <w:rsid w:val="008F5F33"/>
    <w:rsid w:val="009007C5"/>
    <w:rsid w:val="0091046A"/>
    <w:rsid w:val="00926ABD"/>
    <w:rsid w:val="00947F4E"/>
    <w:rsid w:val="00952084"/>
    <w:rsid w:val="00962DDF"/>
    <w:rsid w:val="00966D47"/>
    <w:rsid w:val="00986927"/>
    <w:rsid w:val="009904CD"/>
    <w:rsid w:val="00992312"/>
    <w:rsid w:val="009C0DED"/>
    <w:rsid w:val="009C68A7"/>
    <w:rsid w:val="009D0A95"/>
    <w:rsid w:val="009E78DA"/>
    <w:rsid w:val="009F4649"/>
    <w:rsid w:val="00A0249D"/>
    <w:rsid w:val="00A13E7D"/>
    <w:rsid w:val="00A177DC"/>
    <w:rsid w:val="00A37D7F"/>
    <w:rsid w:val="00A41A33"/>
    <w:rsid w:val="00A45BC3"/>
    <w:rsid w:val="00A46410"/>
    <w:rsid w:val="00A51FF8"/>
    <w:rsid w:val="00A57688"/>
    <w:rsid w:val="00A7284A"/>
    <w:rsid w:val="00A72F1E"/>
    <w:rsid w:val="00A74197"/>
    <w:rsid w:val="00A769E7"/>
    <w:rsid w:val="00A84A94"/>
    <w:rsid w:val="00A86BF7"/>
    <w:rsid w:val="00A96B4A"/>
    <w:rsid w:val="00AB7182"/>
    <w:rsid w:val="00AC6BD5"/>
    <w:rsid w:val="00AD1DAA"/>
    <w:rsid w:val="00AF1E23"/>
    <w:rsid w:val="00AF5EF0"/>
    <w:rsid w:val="00AF7F81"/>
    <w:rsid w:val="00B015EE"/>
    <w:rsid w:val="00B01AFF"/>
    <w:rsid w:val="00B05CC7"/>
    <w:rsid w:val="00B06F4F"/>
    <w:rsid w:val="00B164EE"/>
    <w:rsid w:val="00B20BD2"/>
    <w:rsid w:val="00B225EA"/>
    <w:rsid w:val="00B27E39"/>
    <w:rsid w:val="00B350D8"/>
    <w:rsid w:val="00B4702A"/>
    <w:rsid w:val="00B644D2"/>
    <w:rsid w:val="00B76763"/>
    <w:rsid w:val="00B772CA"/>
    <w:rsid w:val="00B7732B"/>
    <w:rsid w:val="00B879F0"/>
    <w:rsid w:val="00B959EA"/>
    <w:rsid w:val="00BA5060"/>
    <w:rsid w:val="00BB14ED"/>
    <w:rsid w:val="00BC25AA"/>
    <w:rsid w:val="00BC29CC"/>
    <w:rsid w:val="00BC398A"/>
    <w:rsid w:val="00BC44BC"/>
    <w:rsid w:val="00BD7EDB"/>
    <w:rsid w:val="00BF13E0"/>
    <w:rsid w:val="00C00281"/>
    <w:rsid w:val="00C022E3"/>
    <w:rsid w:val="00C410EA"/>
    <w:rsid w:val="00C4712D"/>
    <w:rsid w:val="00C543C4"/>
    <w:rsid w:val="00C555C9"/>
    <w:rsid w:val="00C8015B"/>
    <w:rsid w:val="00C921D8"/>
    <w:rsid w:val="00C944F0"/>
    <w:rsid w:val="00C94F55"/>
    <w:rsid w:val="00CA7D62"/>
    <w:rsid w:val="00CB07A8"/>
    <w:rsid w:val="00CC4DA7"/>
    <w:rsid w:val="00CD4A57"/>
    <w:rsid w:val="00CD770B"/>
    <w:rsid w:val="00D138F3"/>
    <w:rsid w:val="00D168CE"/>
    <w:rsid w:val="00D33604"/>
    <w:rsid w:val="00D37B08"/>
    <w:rsid w:val="00D437FF"/>
    <w:rsid w:val="00D45D83"/>
    <w:rsid w:val="00D5043F"/>
    <w:rsid w:val="00D5130C"/>
    <w:rsid w:val="00D62265"/>
    <w:rsid w:val="00D71A8F"/>
    <w:rsid w:val="00D73836"/>
    <w:rsid w:val="00D8512E"/>
    <w:rsid w:val="00D945D5"/>
    <w:rsid w:val="00DA1E58"/>
    <w:rsid w:val="00DA4A49"/>
    <w:rsid w:val="00DB07D5"/>
    <w:rsid w:val="00DE4EF2"/>
    <w:rsid w:val="00DE5263"/>
    <w:rsid w:val="00DE52E5"/>
    <w:rsid w:val="00DE63BD"/>
    <w:rsid w:val="00DF2C0E"/>
    <w:rsid w:val="00DF60D6"/>
    <w:rsid w:val="00E04DB6"/>
    <w:rsid w:val="00E0645B"/>
    <w:rsid w:val="00E06FFB"/>
    <w:rsid w:val="00E1590A"/>
    <w:rsid w:val="00E168E5"/>
    <w:rsid w:val="00E30155"/>
    <w:rsid w:val="00E52D29"/>
    <w:rsid w:val="00E85ED7"/>
    <w:rsid w:val="00E905E3"/>
    <w:rsid w:val="00E91FE1"/>
    <w:rsid w:val="00EA5E95"/>
    <w:rsid w:val="00EB31E5"/>
    <w:rsid w:val="00ED4954"/>
    <w:rsid w:val="00ED55E3"/>
    <w:rsid w:val="00EE0943"/>
    <w:rsid w:val="00EE33A2"/>
    <w:rsid w:val="00EE4DA9"/>
    <w:rsid w:val="00EF0227"/>
    <w:rsid w:val="00F14003"/>
    <w:rsid w:val="00F215C1"/>
    <w:rsid w:val="00F337F4"/>
    <w:rsid w:val="00F62C00"/>
    <w:rsid w:val="00F67A1C"/>
    <w:rsid w:val="00F75F05"/>
    <w:rsid w:val="00F82C5B"/>
    <w:rsid w:val="00F8555F"/>
    <w:rsid w:val="00FD1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character" w:customStyle="1" w:styleId="NOChar">
    <w:name w:val="NO Char"/>
    <w:link w:val="NO"/>
    <w:rsid w:val="004B5827"/>
    <w:rPr>
      <w:rFonts w:ascii="Times New Roman" w:hAnsi="Times New Roman"/>
      <w:lang w:eastAsia="en-US"/>
    </w:rPr>
  </w:style>
  <w:style w:type="character" w:customStyle="1" w:styleId="B1Car">
    <w:name w:val="B1 Car"/>
    <w:link w:val="B1"/>
    <w:rsid w:val="00E168E5"/>
    <w:rPr>
      <w:rFonts w:ascii="Times New Roman" w:hAnsi="Times New Roman"/>
      <w:lang w:eastAsia="en-US"/>
    </w:rPr>
  </w:style>
  <w:style w:type="table" w:styleId="TableGrid">
    <w:name w:val="Table Grid"/>
    <w:basedOn w:val="TableNormal"/>
    <w:uiPriority w:val="59"/>
    <w:rsid w:val="005F5EC5"/>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rsid w:val="005F5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72033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customXml/itemProps2.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3.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6B21B9BC-F24C-41E5-8481-6942699FC5A0}">
  <ds:schemaRefs>
    <ds:schemaRef ds:uri="Microsoft.SharePoint.Taxonomy.ContentTypeSync"/>
  </ds:schemaRefs>
</ds:datastoreItem>
</file>

<file path=customXml/itemProps5.xml><?xml version="1.0" encoding="utf-8"?>
<ds:datastoreItem xmlns:ds="http://schemas.openxmlformats.org/officeDocument/2006/customXml" ds:itemID="{EDEBDC50-B80D-4AA8-8B9C-3028631845DC}">
  <ds:schemaRefs>
    <ds:schemaRef ds:uri="http://schemas.microsoft.com/sharepoint/events"/>
  </ds:schemaRefs>
</ds:datastoreItem>
</file>

<file path=customXml/itemProps6.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7.xml><?xml version="1.0" encoding="utf-8"?>
<ds:datastoreItem xmlns:ds="http://schemas.openxmlformats.org/officeDocument/2006/customXml" ds:itemID="{F3CCFEC7-6088-4230-BC38-996E1A578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3</cp:revision>
  <cp:lastPrinted>2023-05-02T11:24:00Z</cp:lastPrinted>
  <dcterms:created xsi:type="dcterms:W3CDTF">2023-08-04T08:05:00Z</dcterms:created>
  <dcterms:modified xsi:type="dcterms:W3CDTF">2023-08-04T08:07:00Z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MSIP_Label_cf20372f-9ab3-4551-9149-9f9b12e2c27e_Enabled">
    <vt:lpwstr>true</vt:lpwstr>
  </property>
  <property fmtid="{D5CDD505-2E9C-101B-9397-08002B2CF9AE}" pid="14" name="MSIP_Label_cf20372f-9ab3-4551-9149-9f9b12e2c27e_SetDate">
    <vt:lpwstr>2023-08-03T17:36:46Z</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iteId">
    <vt:lpwstr>6e603289-5e46-4e26-ac7c-03a85420a9a5</vt:lpwstr>
  </property>
  <property fmtid="{D5CDD505-2E9C-101B-9397-08002B2CF9AE}" pid="18" name="MSIP_Label_cf20372f-9ab3-4551-9149-9f9b12e2c27e_ActionId">
    <vt:lpwstr>6f8a8a86-9498-4891-afcb-550580ef4372</vt:lpwstr>
  </property>
  <property fmtid="{D5CDD505-2E9C-101B-9397-08002B2CF9AE}" pid="19" name="MSIP_Label_cf20372f-9ab3-4551-9149-9f9b12e2c27e_ContentBits">
    <vt:lpwstr>0</vt:lpwstr>
  </property>
</Properties>
</file>